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648C" w14:textId="357F7495" w:rsidR="008A17D1" w:rsidRPr="00C216D9" w:rsidRDefault="0056626C" w:rsidP="00C216D9">
      <w:pPr>
        <w:pStyle w:val="Titel"/>
        <w:rPr>
          <w:lang w:val="da-DK"/>
        </w:rPr>
      </w:pPr>
      <w:r>
        <w:rPr>
          <w:lang w:val="da-DK"/>
        </w:rPr>
        <w:t xml:space="preserve">Præ- og </w:t>
      </w:r>
      <w:proofErr w:type="spellStart"/>
      <w:r>
        <w:rPr>
          <w:lang w:val="da-DK"/>
        </w:rPr>
        <w:t>postseptal</w:t>
      </w:r>
      <w:proofErr w:type="spellEnd"/>
      <w:r>
        <w:rPr>
          <w:lang w:val="da-DK"/>
        </w:rPr>
        <w:t xml:space="preserve"> </w:t>
      </w:r>
      <w:r w:rsidR="0096560F">
        <w:rPr>
          <w:lang w:val="da-DK"/>
        </w:rPr>
        <w:t>cellulitis hos børn og unge</w:t>
      </w:r>
    </w:p>
    <w:p w14:paraId="3969EF84" w14:textId="45753C98" w:rsidR="008F493F" w:rsidRPr="00B355A8" w:rsidRDefault="008F493F" w:rsidP="00BC78EC">
      <w:pPr>
        <w:pStyle w:val="Indholdsfortegnelse"/>
        <w:rPr>
          <w:lang w:val="da-DK"/>
        </w:rPr>
      </w:pPr>
      <w:bookmarkStart w:id="0" w:name="_Toc216974759"/>
      <w:bookmarkStart w:id="1" w:name="_Toc216975311"/>
      <w:bookmarkStart w:id="2" w:name="_Toc217021564"/>
      <w:bookmarkStart w:id="3" w:name="_Toc223506089"/>
      <w:r w:rsidRPr="00B355A8">
        <w:rPr>
          <w:lang w:val="da-DK"/>
        </w:rPr>
        <w:t>Indholdsfortegnelse</w:t>
      </w:r>
      <w:bookmarkEnd w:id="0"/>
      <w:bookmarkEnd w:id="1"/>
      <w:bookmarkEnd w:id="2"/>
      <w:bookmarkEnd w:id="3"/>
    </w:p>
    <w:p w14:paraId="3979352F" w14:textId="4DEE04FF" w:rsidR="0073177C" w:rsidRPr="00D91649" w:rsidRDefault="00BC78EC">
      <w:pPr>
        <w:pStyle w:val="Indholdsfortegnelse2"/>
        <w:tabs>
          <w:tab w:val="right" w:pos="9623"/>
        </w:tabs>
        <w:rPr>
          <w:rFonts w:asciiTheme="minorHAnsi" w:eastAsiaTheme="minorEastAsia" w:hAnsiTheme="minorHAnsi" w:cstheme="minorBidi"/>
          <w:szCs w:val="24"/>
          <w:lang w:val="da-DK" w:eastAsia="zh-CN"/>
        </w:rPr>
      </w:pPr>
      <w:r>
        <w:fldChar w:fldCharType="begin"/>
      </w:r>
      <w:r w:rsidRPr="00B355A8">
        <w:rPr>
          <w:lang w:val="da-DK"/>
        </w:rPr>
        <w:instrText xml:space="preserve"> TOC \o "3-3" \t "Heading 1;1;Heading 2;2" </w:instrText>
      </w:r>
      <w:r>
        <w:fldChar w:fldCharType="separate"/>
      </w:r>
      <w:r w:rsidR="0073177C" w:rsidRPr="00270594">
        <w:rPr>
          <w:lang w:val="da-DK"/>
        </w:rPr>
        <w:t>Resum</w:t>
      </w:r>
      <w:r w:rsidR="005A78CE">
        <w:rPr>
          <w:lang w:val="da-DK"/>
        </w:rPr>
        <w:t>é</w:t>
      </w:r>
      <w:r w:rsidR="0073177C" w:rsidRPr="00D91649">
        <w:rPr>
          <w:lang w:val="da-DK"/>
        </w:rPr>
        <w:tab/>
      </w:r>
      <w:r w:rsidR="0073177C">
        <w:fldChar w:fldCharType="begin"/>
      </w:r>
      <w:r w:rsidR="0073177C" w:rsidRPr="00D91649">
        <w:rPr>
          <w:lang w:val="da-DK"/>
        </w:rPr>
        <w:instrText xml:space="preserve"> PAGEREF _Toc473054367 \h </w:instrText>
      </w:r>
      <w:r w:rsidR="0073177C">
        <w:fldChar w:fldCharType="separate"/>
      </w:r>
      <w:r w:rsidR="0073177C" w:rsidRPr="00D91649">
        <w:rPr>
          <w:lang w:val="da-DK"/>
        </w:rPr>
        <w:t>1</w:t>
      </w:r>
      <w:r w:rsidR="0073177C">
        <w:fldChar w:fldCharType="end"/>
      </w:r>
    </w:p>
    <w:p w14:paraId="79FA15BA" w14:textId="77777777" w:rsidR="0073177C" w:rsidRPr="00D91649" w:rsidRDefault="0073177C">
      <w:pPr>
        <w:pStyle w:val="Indholdsfortegnelse2"/>
        <w:tabs>
          <w:tab w:val="right" w:pos="9623"/>
        </w:tabs>
        <w:rPr>
          <w:rFonts w:asciiTheme="minorHAnsi" w:eastAsiaTheme="minorEastAsia" w:hAnsiTheme="minorHAnsi" w:cstheme="minorBidi"/>
          <w:szCs w:val="24"/>
          <w:lang w:val="da-DK" w:eastAsia="zh-CN"/>
        </w:rPr>
      </w:pPr>
      <w:r w:rsidRPr="00270594">
        <w:rPr>
          <w:lang w:val="da-DK"/>
        </w:rPr>
        <w:t>Baggrund</w:t>
      </w:r>
      <w:r w:rsidRPr="00D91649">
        <w:rPr>
          <w:lang w:val="da-DK"/>
        </w:rPr>
        <w:tab/>
      </w:r>
      <w:r>
        <w:fldChar w:fldCharType="begin"/>
      </w:r>
      <w:r w:rsidRPr="00D91649">
        <w:rPr>
          <w:lang w:val="da-DK"/>
        </w:rPr>
        <w:instrText xml:space="preserve"> PAGEREF _Toc473054368 \h </w:instrText>
      </w:r>
      <w:r>
        <w:fldChar w:fldCharType="separate"/>
      </w:r>
      <w:r w:rsidRPr="00D91649">
        <w:rPr>
          <w:lang w:val="da-DK"/>
        </w:rPr>
        <w:t>1</w:t>
      </w:r>
      <w:r>
        <w:fldChar w:fldCharType="end"/>
      </w:r>
    </w:p>
    <w:p w14:paraId="0A206F9E" w14:textId="77777777" w:rsidR="0073177C" w:rsidRPr="00D91649" w:rsidRDefault="0073177C">
      <w:pPr>
        <w:pStyle w:val="Indholdsfortegnelse2"/>
        <w:tabs>
          <w:tab w:val="right" w:pos="9623"/>
        </w:tabs>
        <w:rPr>
          <w:rFonts w:asciiTheme="minorHAnsi" w:eastAsiaTheme="minorEastAsia" w:hAnsiTheme="minorHAnsi" w:cstheme="minorBidi"/>
          <w:szCs w:val="24"/>
          <w:lang w:val="da-DK" w:eastAsia="zh-CN"/>
        </w:rPr>
      </w:pPr>
      <w:r w:rsidRPr="00270594">
        <w:rPr>
          <w:lang w:val="da-DK"/>
        </w:rPr>
        <w:t>Symptomer og objektive fund</w:t>
      </w:r>
      <w:r w:rsidRPr="00D91649">
        <w:rPr>
          <w:lang w:val="da-DK"/>
        </w:rPr>
        <w:tab/>
      </w:r>
      <w:r>
        <w:fldChar w:fldCharType="begin"/>
      </w:r>
      <w:r w:rsidRPr="00D91649">
        <w:rPr>
          <w:lang w:val="da-DK"/>
        </w:rPr>
        <w:instrText xml:space="preserve"> PAGEREF _Toc473054369 \h </w:instrText>
      </w:r>
      <w:r>
        <w:fldChar w:fldCharType="separate"/>
      </w:r>
      <w:r w:rsidRPr="00D91649">
        <w:rPr>
          <w:lang w:val="da-DK"/>
        </w:rPr>
        <w:t>1</w:t>
      </w:r>
      <w:r>
        <w:fldChar w:fldCharType="end"/>
      </w:r>
    </w:p>
    <w:p w14:paraId="1966BB5F" w14:textId="7B94AEC9" w:rsidR="0073177C" w:rsidRPr="00D91649" w:rsidRDefault="0073177C">
      <w:pPr>
        <w:pStyle w:val="Indholdsfortegnelse2"/>
        <w:tabs>
          <w:tab w:val="right" w:pos="9623"/>
        </w:tabs>
        <w:rPr>
          <w:rFonts w:asciiTheme="minorHAnsi" w:eastAsiaTheme="minorEastAsia" w:hAnsiTheme="minorHAnsi" w:cstheme="minorBidi"/>
          <w:szCs w:val="24"/>
          <w:lang w:val="da-DK" w:eastAsia="zh-CN"/>
        </w:rPr>
      </w:pPr>
      <w:r w:rsidRPr="00270594">
        <w:rPr>
          <w:lang w:val="da-DK"/>
        </w:rPr>
        <w:t>Differentialdiagnoser</w:t>
      </w:r>
      <w:r w:rsidRPr="00D91649">
        <w:rPr>
          <w:lang w:val="da-DK"/>
        </w:rPr>
        <w:tab/>
      </w:r>
      <w:r w:rsidR="008A2E09" w:rsidRPr="00AD4AAD">
        <w:rPr>
          <w:lang w:val="da-DK"/>
        </w:rPr>
        <w:t>2</w:t>
      </w:r>
    </w:p>
    <w:p w14:paraId="152EDD1E" w14:textId="12024198" w:rsidR="0073177C" w:rsidRPr="00D91649" w:rsidRDefault="0073177C">
      <w:pPr>
        <w:pStyle w:val="Indholdsfortegnelse2"/>
        <w:tabs>
          <w:tab w:val="right" w:pos="9623"/>
        </w:tabs>
        <w:rPr>
          <w:rFonts w:asciiTheme="minorHAnsi" w:eastAsiaTheme="minorEastAsia" w:hAnsiTheme="minorHAnsi" w:cstheme="minorBidi"/>
          <w:szCs w:val="24"/>
          <w:lang w:val="da-DK" w:eastAsia="zh-CN"/>
        </w:rPr>
      </w:pPr>
      <w:r w:rsidRPr="00D91649">
        <w:rPr>
          <w:lang w:val="da-DK"/>
        </w:rPr>
        <w:t>Undersøgelser</w:t>
      </w:r>
      <w:r w:rsidRPr="00D91649">
        <w:rPr>
          <w:lang w:val="da-DK"/>
        </w:rPr>
        <w:tab/>
      </w:r>
      <w:r w:rsidR="008A2E09" w:rsidRPr="00AD4AAD">
        <w:rPr>
          <w:lang w:val="da-DK"/>
        </w:rPr>
        <w:t>2</w:t>
      </w:r>
    </w:p>
    <w:p w14:paraId="41E584D1" w14:textId="7B9B1F55" w:rsidR="0073177C" w:rsidRPr="00D91649" w:rsidRDefault="0073177C">
      <w:pPr>
        <w:pStyle w:val="Indholdsfortegnelse2"/>
        <w:tabs>
          <w:tab w:val="right" w:pos="9623"/>
        </w:tabs>
        <w:rPr>
          <w:rFonts w:asciiTheme="minorHAnsi" w:eastAsiaTheme="minorEastAsia" w:hAnsiTheme="minorHAnsi" w:cstheme="minorBidi"/>
          <w:szCs w:val="24"/>
          <w:lang w:val="da-DK" w:eastAsia="zh-CN"/>
        </w:rPr>
      </w:pPr>
      <w:r w:rsidRPr="00270594">
        <w:rPr>
          <w:lang w:val="da-DK"/>
        </w:rPr>
        <w:t>Behandling</w:t>
      </w:r>
      <w:r w:rsidRPr="00D91649">
        <w:rPr>
          <w:lang w:val="da-DK"/>
        </w:rPr>
        <w:tab/>
      </w:r>
      <w:r w:rsidR="008A2E09" w:rsidRPr="00AD4AAD">
        <w:rPr>
          <w:lang w:val="da-DK"/>
        </w:rPr>
        <w:t>3</w:t>
      </w:r>
    </w:p>
    <w:p w14:paraId="1D251341" w14:textId="090E0C26" w:rsidR="0073177C" w:rsidRPr="00D91649" w:rsidRDefault="0073177C">
      <w:pPr>
        <w:pStyle w:val="Indholdsfortegnelse2"/>
        <w:tabs>
          <w:tab w:val="right" w:pos="9623"/>
        </w:tabs>
        <w:rPr>
          <w:rFonts w:asciiTheme="minorHAnsi" w:eastAsiaTheme="minorEastAsia" w:hAnsiTheme="minorHAnsi" w:cstheme="minorBidi"/>
          <w:szCs w:val="24"/>
          <w:lang w:val="da-DK" w:eastAsia="zh-CN"/>
        </w:rPr>
      </w:pPr>
      <w:r w:rsidRPr="00270594">
        <w:rPr>
          <w:lang w:val="da-DK"/>
        </w:rPr>
        <w:t>Monitorering</w:t>
      </w:r>
      <w:r w:rsidRPr="00D91649">
        <w:rPr>
          <w:lang w:val="da-DK"/>
        </w:rPr>
        <w:tab/>
      </w:r>
      <w:r w:rsidR="008A2E09" w:rsidRPr="00AD4AAD">
        <w:rPr>
          <w:lang w:val="da-DK"/>
        </w:rPr>
        <w:t>4</w:t>
      </w:r>
    </w:p>
    <w:p w14:paraId="32606979" w14:textId="7AF4C27A" w:rsidR="0073177C" w:rsidRPr="00D91649" w:rsidRDefault="0073177C">
      <w:pPr>
        <w:pStyle w:val="Indholdsfortegnelse2"/>
        <w:tabs>
          <w:tab w:val="right" w:pos="9623"/>
        </w:tabs>
        <w:rPr>
          <w:rFonts w:asciiTheme="minorHAnsi" w:eastAsiaTheme="minorEastAsia" w:hAnsiTheme="minorHAnsi" w:cstheme="minorBidi"/>
          <w:szCs w:val="24"/>
          <w:lang w:val="da-DK" w:eastAsia="zh-CN"/>
        </w:rPr>
      </w:pPr>
      <w:r w:rsidRPr="00270594">
        <w:rPr>
          <w:lang w:val="da-DK"/>
        </w:rPr>
        <w:t>Diagnosekoder</w:t>
      </w:r>
      <w:r w:rsidRPr="00D91649">
        <w:rPr>
          <w:lang w:val="da-DK"/>
        </w:rPr>
        <w:tab/>
      </w:r>
      <w:r w:rsidR="008A2E09" w:rsidRPr="00AD4AAD">
        <w:rPr>
          <w:lang w:val="da-DK"/>
        </w:rPr>
        <w:t>4</w:t>
      </w:r>
    </w:p>
    <w:p w14:paraId="37BB1E06" w14:textId="1AD5B6C3" w:rsidR="0073177C" w:rsidRPr="005510C1" w:rsidRDefault="0073177C">
      <w:pPr>
        <w:pStyle w:val="Indholdsfortegnelse2"/>
        <w:tabs>
          <w:tab w:val="right" w:pos="9623"/>
        </w:tabs>
        <w:rPr>
          <w:rFonts w:asciiTheme="minorHAnsi" w:eastAsiaTheme="minorEastAsia" w:hAnsiTheme="minorHAnsi" w:cstheme="minorBidi"/>
          <w:szCs w:val="24"/>
          <w:lang w:val="da-DK" w:eastAsia="zh-CN"/>
        </w:rPr>
      </w:pPr>
      <w:r w:rsidRPr="00270594">
        <w:rPr>
          <w:lang w:val="da-DK"/>
        </w:rPr>
        <w:t>Referencer</w:t>
      </w:r>
      <w:r w:rsidRPr="005510C1">
        <w:rPr>
          <w:lang w:val="da-DK"/>
        </w:rPr>
        <w:tab/>
      </w:r>
      <w:r w:rsidR="008A2E09" w:rsidRPr="00AD4AAD">
        <w:rPr>
          <w:lang w:val="da-DK"/>
        </w:rPr>
        <w:t>4</w:t>
      </w:r>
    </w:p>
    <w:p w14:paraId="207BA892" w14:textId="13D114CF" w:rsidR="0073177C" w:rsidRPr="005510C1" w:rsidRDefault="0073177C">
      <w:pPr>
        <w:pStyle w:val="Indholdsfortegnelse2"/>
        <w:tabs>
          <w:tab w:val="right" w:pos="9623"/>
        </w:tabs>
        <w:rPr>
          <w:rFonts w:asciiTheme="minorHAnsi" w:eastAsiaTheme="minorEastAsia" w:hAnsiTheme="minorHAnsi" w:cstheme="minorBidi"/>
          <w:szCs w:val="24"/>
          <w:lang w:val="da-DK" w:eastAsia="zh-CN"/>
        </w:rPr>
      </w:pPr>
      <w:r w:rsidRPr="00270594">
        <w:rPr>
          <w:lang w:val="da-DK"/>
        </w:rPr>
        <w:t>Interessekonflikter</w:t>
      </w:r>
      <w:r w:rsidRPr="005510C1">
        <w:rPr>
          <w:lang w:val="da-DK"/>
        </w:rPr>
        <w:tab/>
      </w:r>
      <w:r w:rsidR="008A2E09" w:rsidRPr="00AD4AAD">
        <w:rPr>
          <w:lang w:val="da-DK"/>
        </w:rPr>
        <w:t>4</w:t>
      </w:r>
    </w:p>
    <w:p w14:paraId="42FE9B17" w14:textId="571804FE" w:rsidR="0073177C" w:rsidRPr="005510C1" w:rsidRDefault="0073177C">
      <w:pPr>
        <w:pStyle w:val="Indholdsfortegnelse2"/>
        <w:tabs>
          <w:tab w:val="right" w:pos="9623"/>
        </w:tabs>
        <w:rPr>
          <w:rFonts w:asciiTheme="minorHAnsi" w:eastAsiaTheme="minorEastAsia" w:hAnsiTheme="minorHAnsi" w:cstheme="minorBidi"/>
          <w:szCs w:val="24"/>
          <w:lang w:val="da-DK" w:eastAsia="zh-CN"/>
        </w:rPr>
      </w:pPr>
      <w:r w:rsidRPr="005510C1">
        <w:rPr>
          <w:lang w:val="da-DK"/>
        </w:rPr>
        <w:t>Appendiks</w:t>
      </w:r>
      <w:r w:rsidRPr="005510C1">
        <w:rPr>
          <w:lang w:val="da-DK"/>
        </w:rPr>
        <w:tab/>
      </w:r>
      <w:r w:rsidR="008A2E09" w:rsidRPr="00AD4AAD">
        <w:rPr>
          <w:lang w:val="da-DK"/>
        </w:rPr>
        <w:t>4</w:t>
      </w:r>
    </w:p>
    <w:p w14:paraId="43964152" w14:textId="029D192E" w:rsidR="003C1835" w:rsidRPr="00B355A8" w:rsidRDefault="00BC78EC" w:rsidP="008F493F">
      <w:pPr>
        <w:rPr>
          <w:lang w:val="da-DK"/>
        </w:rPr>
      </w:pPr>
      <w:r>
        <w:fldChar w:fldCharType="end"/>
      </w:r>
    </w:p>
    <w:p w14:paraId="27C3C4EB" w14:textId="0E269D49" w:rsidR="008F493F" w:rsidRPr="00B355A8" w:rsidRDefault="008F493F" w:rsidP="008F493F">
      <w:pPr>
        <w:pStyle w:val="Overskrift2"/>
        <w:rPr>
          <w:lang w:val="da-DK"/>
        </w:rPr>
      </w:pPr>
      <w:bookmarkStart w:id="4" w:name="_Toc216974760"/>
      <w:bookmarkStart w:id="5" w:name="_Toc216975312"/>
      <w:bookmarkStart w:id="6" w:name="_Toc217021565"/>
      <w:bookmarkStart w:id="7" w:name="_Toc223506090"/>
      <w:bookmarkStart w:id="8" w:name="_Toc223506394"/>
      <w:bookmarkStart w:id="9" w:name="_Toc223506439"/>
      <w:bookmarkStart w:id="10" w:name="_Toc473054367"/>
      <w:r w:rsidRPr="00B355A8">
        <w:rPr>
          <w:lang w:val="da-DK"/>
        </w:rPr>
        <w:t>Resu</w:t>
      </w:r>
      <w:bookmarkEnd w:id="4"/>
      <w:bookmarkEnd w:id="5"/>
      <w:bookmarkEnd w:id="6"/>
      <w:bookmarkEnd w:id="7"/>
      <w:bookmarkEnd w:id="8"/>
      <w:bookmarkEnd w:id="9"/>
      <w:bookmarkEnd w:id="10"/>
      <w:r w:rsidR="00AD4AAD">
        <w:rPr>
          <w:lang w:val="da-DK"/>
        </w:rPr>
        <w:t>mé</w:t>
      </w:r>
    </w:p>
    <w:p w14:paraId="49219619" w14:textId="2828D709" w:rsidR="008A2E09" w:rsidRDefault="00625AB2" w:rsidP="008A2E09">
      <w:pPr>
        <w:rPr>
          <w:lang w:val="da-DK"/>
        </w:rPr>
      </w:pPr>
      <w:r>
        <w:rPr>
          <w:lang w:val="da-DK"/>
        </w:rPr>
        <w:t xml:space="preserve">Præ- og </w:t>
      </w:r>
      <w:proofErr w:type="spellStart"/>
      <w:r>
        <w:rPr>
          <w:lang w:val="da-DK"/>
        </w:rPr>
        <w:t>postseptal</w:t>
      </w:r>
      <w:proofErr w:type="spellEnd"/>
      <w:r>
        <w:rPr>
          <w:lang w:val="da-DK"/>
        </w:rPr>
        <w:t xml:space="preserve"> cellulitis adskilles ved specifikke kliniske kriterier, evt. blodprøver og ultimativt</w:t>
      </w:r>
      <w:r w:rsidR="00185B9F">
        <w:rPr>
          <w:lang w:val="da-DK"/>
        </w:rPr>
        <w:t>,</w:t>
      </w:r>
      <w:r>
        <w:rPr>
          <w:lang w:val="da-DK"/>
        </w:rPr>
        <w:t xml:space="preserve"> </w:t>
      </w:r>
      <w:r w:rsidR="008B4856">
        <w:rPr>
          <w:lang w:val="da-DK"/>
        </w:rPr>
        <w:t>CT-scanning</w:t>
      </w:r>
      <w:r>
        <w:rPr>
          <w:lang w:val="da-DK"/>
        </w:rPr>
        <w:t xml:space="preserve">. </w:t>
      </w:r>
      <w:r w:rsidR="00DF6F0C">
        <w:rPr>
          <w:lang w:val="da-DK"/>
        </w:rPr>
        <w:t xml:space="preserve">Patienter med </w:t>
      </w:r>
      <w:proofErr w:type="spellStart"/>
      <w:r w:rsidR="00DF6F0C">
        <w:rPr>
          <w:lang w:val="da-DK"/>
        </w:rPr>
        <w:t>p</w:t>
      </w:r>
      <w:r w:rsidR="008A2E09">
        <w:rPr>
          <w:lang w:val="da-DK"/>
        </w:rPr>
        <w:t>ræseptal</w:t>
      </w:r>
      <w:proofErr w:type="spellEnd"/>
      <w:r w:rsidR="008A2E09">
        <w:rPr>
          <w:lang w:val="da-DK"/>
        </w:rPr>
        <w:t xml:space="preserve"> cellulitis kan opstartes i </w:t>
      </w:r>
      <w:proofErr w:type="gramStart"/>
      <w:r w:rsidR="00CA584B">
        <w:rPr>
          <w:lang w:val="da-DK"/>
        </w:rPr>
        <w:t>per</w:t>
      </w:r>
      <w:r w:rsidR="008A2E09">
        <w:rPr>
          <w:lang w:val="da-DK"/>
        </w:rPr>
        <w:t>oral</w:t>
      </w:r>
      <w:proofErr w:type="gramEnd"/>
      <w:r w:rsidR="008A2E09">
        <w:rPr>
          <w:lang w:val="da-DK"/>
        </w:rPr>
        <w:t xml:space="preserve"> antibiotika og hjemsendes med </w:t>
      </w:r>
      <w:r w:rsidR="004E7D45">
        <w:rPr>
          <w:lang w:val="da-DK"/>
        </w:rPr>
        <w:t xml:space="preserve">grundig </w:t>
      </w:r>
      <w:r>
        <w:rPr>
          <w:lang w:val="da-DK"/>
        </w:rPr>
        <w:t>varsling</w:t>
      </w:r>
      <w:r w:rsidR="008A2E09">
        <w:rPr>
          <w:lang w:val="da-DK"/>
        </w:rPr>
        <w:t>.</w:t>
      </w:r>
    </w:p>
    <w:p w14:paraId="48425489" w14:textId="49BF7B8A" w:rsidR="008A2E09" w:rsidRDefault="009B13BC" w:rsidP="008F493F">
      <w:pPr>
        <w:rPr>
          <w:lang w:val="da-DK"/>
        </w:rPr>
      </w:pPr>
      <w:proofErr w:type="spellStart"/>
      <w:r>
        <w:rPr>
          <w:lang w:val="da-DK"/>
        </w:rPr>
        <w:t>Postseptal</w:t>
      </w:r>
      <w:proofErr w:type="spellEnd"/>
      <w:r>
        <w:rPr>
          <w:lang w:val="da-DK"/>
        </w:rPr>
        <w:t xml:space="preserve"> cellulitis </w:t>
      </w:r>
      <w:r w:rsidR="008A2E09">
        <w:rPr>
          <w:lang w:val="da-DK"/>
        </w:rPr>
        <w:t>behandle</w:t>
      </w:r>
      <w:r>
        <w:rPr>
          <w:lang w:val="da-DK"/>
        </w:rPr>
        <w:t>s</w:t>
      </w:r>
      <w:r w:rsidR="008A2E09">
        <w:rPr>
          <w:lang w:val="da-DK"/>
        </w:rPr>
        <w:t xml:space="preserve"> med </w:t>
      </w:r>
      <w:r w:rsidR="001765D0">
        <w:rPr>
          <w:lang w:val="da-DK"/>
        </w:rPr>
        <w:t>IV</w:t>
      </w:r>
      <w:r w:rsidR="008A2E09">
        <w:rPr>
          <w:lang w:val="da-DK"/>
        </w:rPr>
        <w:t xml:space="preserve"> antibiotika suppleret af </w:t>
      </w:r>
      <w:r w:rsidR="007D742B">
        <w:rPr>
          <w:lang w:val="da-DK"/>
        </w:rPr>
        <w:t xml:space="preserve">akut </w:t>
      </w:r>
      <w:r w:rsidR="008A2E09">
        <w:rPr>
          <w:lang w:val="da-DK"/>
        </w:rPr>
        <w:t>kirurgisk sanering</w:t>
      </w:r>
      <w:r>
        <w:rPr>
          <w:lang w:val="da-DK"/>
        </w:rPr>
        <w:t xml:space="preserve"> på </w:t>
      </w:r>
      <w:proofErr w:type="spellStart"/>
      <w:r>
        <w:rPr>
          <w:lang w:val="da-DK"/>
        </w:rPr>
        <w:t>øre-næse-halsafdelingen</w:t>
      </w:r>
      <w:proofErr w:type="spellEnd"/>
      <w:r w:rsidR="00185B9F">
        <w:rPr>
          <w:lang w:val="da-DK"/>
        </w:rPr>
        <w:t xml:space="preserve"> (ØNH)</w:t>
      </w:r>
      <w:r>
        <w:rPr>
          <w:lang w:val="da-DK"/>
        </w:rPr>
        <w:t xml:space="preserve"> </w:t>
      </w:r>
      <w:r w:rsidR="007D742B">
        <w:rPr>
          <w:lang w:val="da-DK"/>
        </w:rPr>
        <w:t>ved mistanke om truet syn</w:t>
      </w:r>
      <w:r w:rsidR="00625AB2">
        <w:rPr>
          <w:lang w:val="da-DK"/>
        </w:rPr>
        <w:t>.</w:t>
      </w:r>
    </w:p>
    <w:p w14:paraId="78E9BF38" w14:textId="77777777" w:rsidR="001812DE" w:rsidRDefault="001812DE" w:rsidP="008F493F">
      <w:pPr>
        <w:rPr>
          <w:lang w:val="da-DK"/>
        </w:rPr>
      </w:pPr>
    </w:p>
    <w:p w14:paraId="28AC4950" w14:textId="77777777" w:rsidR="008F493F" w:rsidRPr="00B355A8" w:rsidRDefault="008F493F" w:rsidP="008F493F">
      <w:pPr>
        <w:pStyle w:val="Overskrift2"/>
        <w:rPr>
          <w:lang w:val="da-DK"/>
        </w:rPr>
      </w:pPr>
      <w:bookmarkStart w:id="11" w:name="_Toc216974761"/>
      <w:bookmarkStart w:id="12" w:name="_Toc216975313"/>
      <w:bookmarkStart w:id="13" w:name="_Toc217021566"/>
      <w:bookmarkStart w:id="14" w:name="_Toc223506091"/>
      <w:bookmarkStart w:id="15" w:name="_Toc223506395"/>
      <w:bookmarkStart w:id="16" w:name="_Toc223506440"/>
      <w:bookmarkStart w:id="17" w:name="_Toc473054368"/>
      <w:r w:rsidRPr="00B355A8">
        <w:rPr>
          <w:lang w:val="da-DK"/>
        </w:rPr>
        <w:t>Baggrund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725E74C1" w14:textId="0187C011" w:rsidR="001765D0" w:rsidRDefault="00C707D0" w:rsidP="008F493F">
      <w:pPr>
        <w:rPr>
          <w:lang w:val="da-DK"/>
        </w:rPr>
      </w:pPr>
      <w:proofErr w:type="spellStart"/>
      <w:r>
        <w:rPr>
          <w:lang w:val="da-DK"/>
        </w:rPr>
        <w:t>Præseptal</w:t>
      </w:r>
      <w:proofErr w:type="spellEnd"/>
      <w:r>
        <w:rPr>
          <w:lang w:val="da-DK"/>
        </w:rPr>
        <w:t xml:space="preserve"> </w:t>
      </w:r>
      <w:r w:rsidR="00354171">
        <w:rPr>
          <w:lang w:val="da-DK"/>
        </w:rPr>
        <w:t>cellulit</w:t>
      </w:r>
      <w:r w:rsidR="00625AB2">
        <w:rPr>
          <w:lang w:val="da-DK"/>
        </w:rPr>
        <w:t>is</w:t>
      </w:r>
      <w:r w:rsidR="00354171">
        <w:rPr>
          <w:lang w:val="da-DK"/>
        </w:rPr>
        <w:t xml:space="preserve"> </w:t>
      </w:r>
      <w:r w:rsidR="005A78CE">
        <w:rPr>
          <w:lang w:val="da-DK"/>
        </w:rPr>
        <w:t xml:space="preserve">er </w:t>
      </w:r>
      <w:r w:rsidR="00625AB2">
        <w:rPr>
          <w:lang w:val="da-DK"/>
        </w:rPr>
        <w:t xml:space="preserve">infektion i </w:t>
      </w:r>
      <w:r w:rsidR="00107821">
        <w:rPr>
          <w:lang w:val="da-DK"/>
        </w:rPr>
        <w:t>bløddele</w:t>
      </w:r>
      <w:r w:rsidR="00625AB2">
        <w:rPr>
          <w:lang w:val="da-DK"/>
        </w:rPr>
        <w:t xml:space="preserve"> </w:t>
      </w:r>
      <w:proofErr w:type="spellStart"/>
      <w:r w:rsidR="009336F7">
        <w:rPr>
          <w:lang w:val="da-DK"/>
        </w:rPr>
        <w:t>anteriort</w:t>
      </w:r>
      <w:proofErr w:type="spellEnd"/>
      <w:r w:rsidR="009336F7">
        <w:rPr>
          <w:lang w:val="da-DK"/>
        </w:rPr>
        <w:t xml:space="preserve"> </w:t>
      </w:r>
      <w:r w:rsidR="00625AB2">
        <w:rPr>
          <w:lang w:val="da-DK"/>
        </w:rPr>
        <w:t>for</w:t>
      </w:r>
      <w:r w:rsidR="009336F7">
        <w:rPr>
          <w:lang w:val="da-DK"/>
        </w:rPr>
        <w:t xml:space="preserve"> det orbitale septum</w:t>
      </w:r>
      <w:r w:rsidR="00107821">
        <w:rPr>
          <w:lang w:val="da-DK"/>
        </w:rPr>
        <w:t>, altså i øjenlåg og øjenomgivelser.</w:t>
      </w:r>
      <w:r w:rsidR="00410103">
        <w:rPr>
          <w:lang w:val="da-DK"/>
        </w:rPr>
        <w:t xml:space="preserve"> Det</w:t>
      </w:r>
      <w:r w:rsidR="005A78CE">
        <w:rPr>
          <w:lang w:val="da-DK"/>
        </w:rPr>
        <w:t xml:space="preserve"> er en relativ hyppig tilstand hos børn</w:t>
      </w:r>
      <w:r w:rsidR="00410103">
        <w:rPr>
          <w:lang w:val="da-DK"/>
        </w:rPr>
        <w:t xml:space="preserve"> og v</w:t>
      </w:r>
      <w:r w:rsidR="009336F7">
        <w:rPr>
          <w:lang w:val="da-DK"/>
        </w:rPr>
        <w:t xml:space="preserve">ed </w:t>
      </w:r>
      <w:r w:rsidR="005A78CE">
        <w:rPr>
          <w:lang w:val="da-DK"/>
        </w:rPr>
        <w:t>korrekt</w:t>
      </w:r>
      <w:r w:rsidR="009336F7">
        <w:rPr>
          <w:lang w:val="da-DK"/>
        </w:rPr>
        <w:t xml:space="preserve"> behandling remittere</w:t>
      </w:r>
      <w:r w:rsidR="00FC5972">
        <w:rPr>
          <w:lang w:val="da-DK"/>
        </w:rPr>
        <w:t>r</w:t>
      </w:r>
      <w:r w:rsidR="009336F7">
        <w:rPr>
          <w:lang w:val="da-DK"/>
        </w:rPr>
        <w:t xml:space="preserve"> infektione</w:t>
      </w:r>
      <w:r w:rsidR="00410103">
        <w:rPr>
          <w:lang w:val="da-DK"/>
        </w:rPr>
        <w:t>n</w:t>
      </w:r>
      <w:r w:rsidR="009336F7">
        <w:rPr>
          <w:lang w:val="da-DK"/>
        </w:rPr>
        <w:t xml:space="preserve"> oftest hurtigt og uden sequela</w:t>
      </w:r>
      <w:r w:rsidR="005510C1">
        <w:rPr>
          <w:lang w:val="da-DK"/>
        </w:rPr>
        <w:t>e</w:t>
      </w:r>
      <w:r w:rsidR="009336F7">
        <w:rPr>
          <w:lang w:val="da-DK"/>
        </w:rPr>
        <w:t>.</w:t>
      </w:r>
    </w:p>
    <w:p w14:paraId="5A9AE0F8" w14:textId="2FDBA3AB" w:rsidR="00107821" w:rsidRDefault="00505B3D" w:rsidP="008F493F">
      <w:pPr>
        <w:rPr>
          <w:lang w:val="da-DK"/>
        </w:rPr>
      </w:pPr>
      <w:proofErr w:type="spellStart"/>
      <w:r>
        <w:rPr>
          <w:lang w:val="da-DK"/>
        </w:rPr>
        <w:t>P</w:t>
      </w:r>
      <w:r w:rsidR="009B13BC">
        <w:rPr>
          <w:lang w:val="da-DK"/>
        </w:rPr>
        <w:t>ostseptal</w:t>
      </w:r>
      <w:proofErr w:type="spellEnd"/>
      <w:r w:rsidR="009B13BC">
        <w:rPr>
          <w:lang w:val="da-DK"/>
        </w:rPr>
        <w:t xml:space="preserve"> eller orbital cellulit</w:t>
      </w:r>
      <w:r w:rsidR="00087DCF">
        <w:rPr>
          <w:lang w:val="da-DK"/>
        </w:rPr>
        <w:t>is</w:t>
      </w:r>
      <w:r w:rsidR="001765D0">
        <w:rPr>
          <w:lang w:val="da-DK"/>
        </w:rPr>
        <w:t xml:space="preserve"> er infektion i bløddele </w:t>
      </w:r>
      <w:proofErr w:type="spellStart"/>
      <w:r w:rsidR="001765D0">
        <w:rPr>
          <w:lang w:val="da-DK"/>
        </w:rPr>
        <w:t>posteriort</w:t>
      </w:r>
      <w:proofErr w:type="spellEnd"/>
      <w:r w:rsidR="001765D0">
        <w:rPr>
          <w:lang w:val="da-DK"/>
        </w:rPr>
        <w:t xml:space="preserve"> for det orbitale septum, altså i muskler og fedt i orbita. Infektionen kan opstå som spredning fra </w:t>
      </w:r>
      <w:proofErr w:type="spellStart"/>
      <w:r w:rsidR="001765D0">
        <w:rPr>
          <w:lang w:val="da-DK"/>
        </w:rPr>
        <w:t>præseptal</w:t>
      </w:r>
      <w:proofErr w:type="spellEnd"/>
      <w:r w:rsidR="001765D0">
        <w:rPr>
          <w:lang w:val="da-DK"/>
        </w:rPr>
        <w:t xml:space="preserve"> cellulitis, men </w:t>
      </w:r>
      <w:r w:rsidR="00107821">
        <w:rPr>
          <w:lang w:val="da-DK"/>
        </w:rPr>
        <w:t xml:space="preserve">den hyppigste infektionsvej er direkte spredning fra en ledsagende </w:t>
      </w:r>
      <w:proofErr w:type="spellStart"/>
      <w:r w:rsidR="00107821">
        <w:rPr>
          <w:lang w:val="da-DK"/>
        </w:rPr>
        <w:t>sinuitis</w:t>
      </w:r>
      <w:proofErr w:type="spellEnd"/>
      <w:r w:rsidR="00107821">
        <w:rPr>
          <w:lang w:val="da-DK"/>
        </w:rPr>
        <w:t xml:space="preserve">, især fra sinus </w:t>
      </w:r>
      <w:proofErr w:type="spellStart"/>
      <w:r w:rsidR="00107821">
        <w:rPr>
          <w:lang w:val="da-DK"/>
        </w:rPr>
        <w:t>ethmoidales</w:t>
      </w:r>
      <w:proofErr w:type="spellEnd"/>
      <w:r w:rsidR="00107821">
        <w:rPr>
          <w:lang w:val="da-DK"/>
        </w:rPr>
        <w:t xml:space="preserve">. </w:t>
      </w:r>
    </w:p>
    <w:p w14:paraId="3E2E5B2C" w14:textId="6F6552C9" w:rsidR="002E43FF" w:rsidRDefault="00107821" w:rsidP="008F493F">
      <w:pPr>
        <w:rPr>
          <w:lang w:val="da-DK"/>
        </w:rPr>
      </w:pPr>
      <w:r>
        <w:rPr>
          <w:lang w:val="da-DK"/>
        </w:rPr>
        <w:t xml:space="preserve">Ved </w:t>
      </w:r>
      <w:proofErr w:type="spellStart"/>
      <w:r>
        <w:rPr>
          <w:lang w:val="da-DK"/>
        </w:rPr>
        <w:t>postseptal</w:t>
      </w:r>
      <w:proofErr w:type="spellEnd"/>
      <w:r>
        <w:rPr>
          <w:lang w:val="da-DK"/>
        </w:rPr>
        <w:t xml:space="preserve"> cellulit</w:t>
      </w:r>
      <w:r w:rsidR="00087DCF">
        <w:rPr>
          <w:lang w:val="da-DK"/>
        </w:rPr>
        <w:t>is</w:t>
      </w:r>
      <w:r>
        <w:rPr>
          <w:lang w:val="da-DK"/>
        </w:rPr>
        <w:t xml:space="preserve"> er der risiko for</w:t>
      </w:r>
      <w:r w:rsidR="009B13BC">
        <w:rPr>
          <w:lang w:val="da-DK"/>
        </w:rPr>
        <w:t xml:space="preserve"> komplikationer i form af </w:t>
      </w:r>
      <w:proofErr w:type="spellStart"/>
      <w:r w:rsidR="002E43FF">
        <w:rPr>
          <w:lang w:val="da-DK"/>
        </w:rPr>
        <w:t>intrakranielle</w:t>
      </w:r>
      <w:proofErr w:type="spellEnd"/>
      <w:r w:rsidR="002E43FF">
        <w:rPr>
          <w:lang w:val="da-DK"/>
        </w:rPr>
        <w:t xml:space="preserve"> infektioner og ab</w:t>
      </w:r>
      <w:r w:rsidR="00223388">
        <w:rPr>
          <w:lang w:val="da-DK"/>
        </w:rPr>
        <w:t>s</w:t>
      </w:r>
      <w:r w:rsidR="002E43FF">
        <w:rPr>
          <w:lang w:val="da-DK"/>
        </w:rPr>
        <w:t xml:space="preserve">cesser, sinus trombose samt </w:t>
      </w:r>
      <w:r w:rsidR="007D742B">
        <w:rPr>
          <w:lang w:val="da-DK"/>
        </w:rPr>
        <w:t>syns-nedsættelse</w:t>
      </w:r>
      <w:r>
        <w:rPr>
          <w:lang w:val="da-DK"/>
        </w:rPr>
        <w:t xml:space="preserve">, hvorfor </w:t>
      </w:r>
      <w:proofErr w:type="spellStart"/>
      <w:r>
        <w:rPr>
          <w:lang w:val="da-DK"/>
        </w:rPr>
        <w:t>postseptal</w:t>
      </w:r>
      <w:proofErr w:type="spellEnd"/>
      <w:r>
        <w:rPr>
          <w:lang w:val="da-DK"/>
        </w:rPr>
        <w:t xml:space="preserve"> cellulitis skal behandles mere aggressivt inkl. IV antibiotika og evt. kirurgi</w:t>
      </w:r>
      <w:r w:rsidR="002E43FF">
        <w:rPr>
          <w:lang w:val="da-DK"/>
        </w:rPr>
        <w:t>.</w:t>
      </w:r>
    </w:p>
    <w:p w14:paraId="562E2D44" w14:textId="772AECF8" w:rsidR="002E43FF" w:rsidRDefault="00C707D0" w:rsidP="008F493F">
      <w:pPr>
        <w:rPr>
          <w:lang w:val="da-DK"/>
        </w:rPr>
      </w:pPr>
      <w:r>
        <w:rPr>
          <w:lang w:val="da-DK"/>
        </w:rPr>
        <w:t xml:space="preserve">Præ- og </w:t>
      </w:r>
      <w:proofErr w:type="spellStart"/>
      <w:r>
        <w:rPr>
          <w:lang w:val="da-DK"/>
        </w:rPr>
        <w:t>postseptal</w:t>
      </w:r>
      <w:proofErr w:type="spellEnd"/>
      <w:r>
        <w:rPr>
          <w:lang w:val="da-DK"/>
        </w:rPr>
        <w:t xml:space="preserve"> cellulitis </w:t>
      </w:r>
      <w:r w:rsidR="00FC5972">
        <w:rPr>
          <w:lang w:val="da-DK"/>
        </w:rPr>
        <w:t xml:space="preserve">skyldes oftest </w:t>
      </w:r>
      <w:r w:rsidR="009B13BC">
        <w:rPr>
          <w:lang w:val="da-DK"/>
        </w:rPr>
        <w:t>S</w:t>
      </w:r>
      <w:r w:rsidR="00FC5972">
        <w:rPr>
          <w:lang w:val="da-DK"/>
        </w:rPr>
        <w:t>treptokokker</w:t>
      </w:r>
      <w:r w:rsidR="00354171">
        <w:rPr>
          <w:lang w:val="da-DK"/>
        </w:rPr>
        <w:t>,</w:t>
      </w:r>
      <w:r w:rsidR="00B845F3">
        <w:rPr>
          <w:lang w:val="da-DK"/>
        </w:rPr>
        <w:t xml:space="preserve"> </w:t>
      </w:r>
      <w:proofErr w:type="spellStart"/>
      <w:r w:rsidR="00B845F3" w:rsidRPr="00C707D0">
        <w:rPr>
          <w:i/>
          <w:iCs/>
          <w:lang w:val="da-DK"/>
        </w:rPr>
        <w:t>Staphylo</w:t>
      </w:r>
      <w:r w:rsidR="005510C1" w:rsidRPr="00C707D0">
        <w:rPr>
          <w:i/>
          <w:iCs/>
          <w:lang w:val="da-DK"/>
        </w:rPr>
        <w:t>cocc</w:t>
      </w:r>
      <w:r w:rsidR="0096560F" w:rsidRPr="00C707D0">
        <w:rPr>
          <w:i/>
          <w:iCs/>
          <w:lang w:val="da-DK"/>
        </w:rPr>
        <w:t>us</w:t>
      </w:r>
      <w:proofErr w:type="spellEnd"/>
      <w:r w:rsidR="0096560F" w:rsidRPr="00C707D0">
        <w:rPr>
          <w:i/>
          <w:iCs/>
          <w:lang w:val="da-DK"/>
        </w:rPr>
        <w:t xml:space="preserve"> aureus</w:t>
      </w:r>
      <w:r w:rsidR="00354171">
        <w:rPr>
          <w:i/>
          <w:iCs/>
          <w:lang w:val="da-DK"/>
        </w:rPr>
        <w:t xml:space="preserve"> </w:t>
      </w:r>
      <w:r w:rsidR="00354171">
        <w:rPr>
          <w:lang w:val="da-DK"/>
        </w:rPr>
        <w:t>eller</w:t>
      </w:r>
      <w:r w:rsidR="00354171" w:rsidRPr="00C707D0">
        <w:rPr>
          <w:lang w:val="da-DK"/>
        </w:rPr>
        <w:t xml:space="preserve"> anaerobe bakterier</w:t>
      </w:r>
      <w:r w:rsidR="0096560F">
        <w:rPr>
          <w:lang w:val="da-DK"/>
        </w:rPr>
        <w:t xml:space="preserve">, </w:t>
      </w:r>
      <w:r w:rsidR="002E43FF">
        <w:rPr>
          <w:lang w:val="da-DK"/>
        </w:rPr>
        <w:t>som spreder sig lokal</w:t>
      </w:r>
      <w:r w:rsidR="00FC5972">
        <w:rPr>
          <w:lang w:val="da-DK"/>
        </w:rPr>
        <w:t>t</w:t>
      </w:r>
      <w:r w:rsidR="002E43FF">
        <w:rPr>
          <w:lang w:val="da-DK"/>
        </w:rPr>
        <w:t xml:space="preserve"> fra </w:t>
      </w:r>
      <w:r w:rsidR="007D742B">
        <w:rPr>
          <w:lang w:val="da-DK"/>
        </w:rPr>
        <w:t>bihulerne</w:t>
      </w:r>
      <w:r w:rsidR="00B845F3">
        <w:rPr>
          <w:lang w:val="da-DK"/>
        </w:rPr>
        <w:t xml:space="preserve">, særligt </w:t>
      </w:r>
      <w:proofErr w:type="spellStart"/>
      <w:r w:rsidR="002E43FF">
        <w:rPr>
          <w:lang w:val="da-DK"/>
        </w:rPr>
        <w:t>ethmoidet</w:t>
      </w:r>
      <w:proofErr w:type="spellEnd"/>
      <w:r w:rsidR="002E43FF">
        <w:rPr>
          <w:lang w:val="da-DK"/>
        </w:rPr>
        <w:t>, men kan også komme fra en tandab</w:t>
      </w:r>
      <w:r w:rsidR="00B845F3">
        <w:rPr>
          <w:lang w:val="da-DK"/>
        </w:rPr>
        <w:t>s</w:t>
      </w:r>
      <w:r w:rsidR="002E43FF">
        <w:rPr>
          <w:lang w:val="da-DK"/>
        </w:rPr>
        <w:t xml:space="preserve">ces eller et insektbid </w:t>
      </w:r>
      <w:r w:rsidR="00B845F3">
        <w:rPr>
          <w:lang w:val="da-DK"/>
        </w:rPr>
        <w:t>ved</w:t>
      </w:r>
      <w:r w:rsidR="002E43FF">
        <w:rPr>
          <w:lang w:val="da-DK"/>
        </w:rPr>
        <w:t xml:space="preserve"> øjet.</w:t>
      </w:r>
    </w:p>
    <w:p w14:paraId="680E40EB" w14:textId="02039921" w:rsidR="001812DE" w:rsidRPr="00B355A8" w:rsidRDefault="002E43FF" w:rsidP="008F493F">
      <w:pPr>
        <w:rPr>
          <w:lang w:val="da-DK"/>
        </w:rPr>
      </w:pPr>
      <w:r>
        <w:rPr>
          <w:lang w:val="da-DK"/>
        </w:rPr>
        <w:t xml:space="preserve">Hos immunsupprimerede </w:t>
      </w:r>
      <w:r w:rsidR="0096560F">
        <w:rPr>
          <w:lang w:val="da-DK"/>
        </w:rPr>
        <w:t xml:space="preserve">og ikke vaccinerede børn </w:t>
      </w:r>
      <w:r>
        <w:rPr>
          <w:lang w:val="da-DK"/>
        </w:rPr>
        <w:t xml:space="preserve">kan man også se infektion forårsaget af </w:t>
      </w:r>
      <w:proofErr w:type="spellStart"/>
      <w:r w:rsidRPr="00C707D0">
        <w:rPr>
          <w:i/>
          <w:iCs/>
          <w:lang w:val="da-DK"/>
        </w:rPr>
        <w:t>Haemophilus</w:t>
      </w:r>
      <w:proofErr w:type="spellEnd"/>
      <w:r w:rsidRPr="00C707D0">
        <w:rPr>
          <w:i/>
          <w:iCs/>
          <w:lang w:val="da-DK"/>
        </w:rPr>
        <w:t xml:space="preserve"> </w:t>
      </w:r>
      <w:proofErr w:type="spellStart"/>
      <w:r w:rsidRPr="00C707D0">
        <w:rPr>
          <w:i/>
          <w:iCs/>
          <w:lang w:val="da-DK"/>
        </w:rPr>
        <w:t>influenza</w:t>
      </w:r>
      <w:r w:rsidR="005510C1" w:rsidRPr="00C707D0">
        <w:rPr>
          <w:i/>
          <w:iCs/>
          <w:lang w:val="da-DK"/>
        </w:rPr>
        <w:t>e</w:t>
      </w:r>
      <w:proofErr w:type="spellEnd"/>
      <w:r w:rsidRPr="00C707D0">
        <w:rPr>
          <w:i/>
          <w:iCs/>
          <w:lang w:val="da-DK"/>
        </w:rPr>
        <w:t xml:space="preserve"> </w:t>
      </w:r>
      <w:r>
        <w:rPr>
          <w:lang w:val="da-DK"/>
        </w:rPr>
        <w:t>type B</w:t>
      </w:r>
      <w:r w:rsidR="00B845F3">
        <w:rPr>
          <w:lang w:val="da-DK"/>
        </w:rPr>
        <w:t>.</w:t>
      </w:r>
    </w:p>
    <w:p w14:paraId="0F5F75D5" w14:textId="77777777" w:rsidR="008F493F" w:rsidRPr="00B355A8" w:rsidRDefault="008F493F" w:rsidP="008F493F">
      <w:pPr>
        <w:pStyle w:val="Overskrift2"/>
        <w:rPr>
          <w:lang w:val="da-DK"/>
        </w:rPr>
      </w:pPr>
      <w:bookmarkStart w:id="18" w:name="_Toc216974762"/>
      <w:bookmarkStart w:id="19" w:name="_Toc216975314"/>
      <w:bookmarkStart w:id="20" w:name="_Toc217021567"/>
      <w:bookmarkStart w:id="21" w:name="_Toc223506092"/>
      <w:bookmarkStart w:id="22" w:name="_Toc223506396"/>
      <w:bookmarkStart w:id="23" w:name="_Toc223506441"/>
      <w:bookmarkStart w:id="24" w:name="_Toc473054369"/>
      <w:r w:rsidRPr="00B355A8">
        <w:rPr>
          <w:lang w:val="da-DK"/>
        </w:rPr>
        <w:t>Symptomer og objektive fund</w:t>
      </w:r>
      <w:bookmarkEnd w:id="18"/>
      <w:bookmarkEnd w:id="19"/>
      <w:bookmarkEnd w:id="20"/>
      <w:bookmarkEnd w:id="21"/>
      <w:bookmarkEnd w:id="22"/>
      <w:bookmarkEnd w:id="23"/>
      <w:bookmarkEnd w:id="24"/>
    </w:p>
    <w:p w14:paraId="6CF00833" w14:textId="666F7FFD" w:rsidR="00B85B14" w:rsidRDefault="00B85B14" w:rsidP="008F493F">
      <w:pPr>
        <w:rPr>
          <w:lang w:val="da-DK"/>
        </w:rPr>
      </w:pPr>
      <w:r>
        <w:rPr>
          <w:lang w:val="da-DK"/>
        </w:rPr>
        <w:t xml:space="preserve">De to tilstande </w:t>
      </w:r>
      <w:r w:rsidR="009B13BC">
        <w:rPr>
          <w:lang w:val="da-DK"/>
        </w:rPr>
        <w:t xml:space="preserve">kan </w:t>
      </w:r>
      <w:r w:rsidR="00B845F3">
        <w:rPr>
          <w:lang w:val="da-DK"/>
        </w:rPr>
        <w:t>adskilles fra hinanden ud fra nedenstående</w:t>
      </w:r>
      <w:r w:rsidR="0065743D">
        <w:rPr>
          <w:lang w:val="da-DK"/>
        </w:rPr>
        <w:t xml:space="preserve"> tabel</w:t>
      </w:r>
      <w:r w:rsidR="00B845F3">
        <w:rPr>
          <w:lang w:val="da-DK"/>
        </w:rPr>
        <w:t>:</w:t>
      </w:r>
    </w:p>
    <w:p w14:paraId="248B2A16" w14:textId="77777777" w:rsidR="00B85B14" w:rsidRDefault="00B85B14" w:rsidP="008F493F">
      <w:pPr>
        <w:rPr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2593"/>
        <w:gridCol w:w="3207"/>
      </w:tblGrid>
      <w:tr w:rsidR="0003367F" w14:paraId="2C0AD191" w14:textId="77777777" w:rsidTr="00223388">
        <w:tc>
          <w:tcPr>
            <w:tcW w:w="3823" w:type="dxa"/>
            <w:shd w:val="clear" w:color="auto" w:fill="BFBFBF" w:themeFill="background1" w:themeFillShade="BF"/>
          </w:tcPr>
          <w:p w14:paraId="22B41127" w14:textId="49DAE3D2" w:rsidR="0003367F" w:rsidRPr="0003367F" w:rsidRDefault="0003367F" w:rsidP="008F493F">
            <w:pPr>
              <w:rPr>
                <w:b/>
                <w:lang w:val="da-DK"/>
              </w:rPr>
            </w:pPr>
            <w:r w:rsidRPr="0003367F">
              <w:rPr>
                <w:b/>
                <w:lang w:val="da-DK"/>
              </w:rPr>
              <w:t>Klinisk præsentation</w:t>
            </w:r>
          </w:p>
        </w:tc>
        <w:tc>
          <w:tcPr>
            <w:tcW w:w="2593" w:type="dxa"/>
            <w:shd w:val="clear" w:color="auto" w:fill="BFBFBF" w:themeFill="background1" w:themeFillShade="BF"/>
          </w:tcPr>
          <w:p w14:paraId="7102DC3B" w14:textId="6D616D01" w:rsidR="0003367F" w:rsidRPr="0003367F" w:rsidRDefault="33B1C8D4" w:rsidP="5967AC15">
            <w:pPr>
              <w:rPr>
                <w:b/>
                <w:bCs/>
                <w:lang w:val="da-DK"/>
              </w:rPr>
            </w:pPr>
            <w:proofErr w:type="spellStart"/>
            <w:r w:rsidRPr="5967AC15">
              <w:rPr>
                <w:b/>
                <w:bCs/>
                <w:lang w:val="da-DK"/>
              </w:rPr>
              <w:t>Pr</w:t>
            </w:r>
            <w:r w:rsidR="2D2823A3" w:rsidRPr="5967AC15">
              <w:rPr>
                <w:b/>
                <w:bCs/>
                <w:lang w:val="da-DK"/>
              </w:rPr>
              <w:t>æ</w:t>
            </w:r>
            <w:r w:rsidRPr="5967AC15">
              <w:rPr>
                <w:b/>
                <w:bCs/>
                <w:lang w:val="da-DK"/>
              </w:rPr>
              <w:t>septal</w:t>
            </w:r>
            <w:proofErr w:type="spellEnd"/>
            <w:r w:rsidRPr="5967AC15">
              <w:rPr>
                <w:b/>
                <w:bCs/>
                <w:lang w:val="da-DK"/>
              </w:rPr>
              <w:t xml:space="preserve"> cellulitis</w:t>
            </w:r>
          </w:p>
        </w:tc>
        <w:tc>
          <w:tcPr>
            <w:tcW w:w="3207" w:type="dxa"/>
            <w:shd w:val="clear" w:color="auto" w:fill="BFBFBF" w:themeFill="background1" w:themeFillShade="BF"/>
          </w:tcPr>
          <w:p w14:paraId="15C7C630" w14:textId="25D79E1B" w:rsidR="0003367F" w:rsidRPr="0003367F" w:rsidRDefault="0003367F" w:rsidP="008F493F">
            <w:pPr>
              <w:rPr>
                <w:b/>
                <w:lang w:val="da-DK"/>
              </w:rPr>
            </w:pPr>
            <w:proofErr w:type="spellStart"/>
            <w:r w:rsidRPr="0003367F">
              <w:rPr>
                <w:b/>
                <w:lang w:val="da-DK"/>
              </w:rPr>
              <w:t>Postseptal</w:t>
            </w:r>
            <w:proofErr w:type="spellEnd"/>
            <w:r w:rsidRPr="0003367F">
              <w:rPr>
                <w:b/>
                <w:lang w:val="da-DK"/>
              </w:rPr>
              <w:t xml:space="preserve"> cellulitis</w:t>
            </w:r>
          </w:p>
        </w:tc>
      </w:tr>
      <w:tr w:rsidR="0003367F" w14:paraId="3AF78118" w14:textId="77777777" w:rsidTr="00223388">
        <w:tc>
          <w:tcPr>
            <w:tcW w:w="3823" w:type="dxa"/>
          </w:tcPr>
          <w:p w14:paraId="36166F02" w14:textId="692E89CC" w:rsidR="0003367F" w:rsidRDefault="0003367F" w:rsidP="008F493F">
            <w:pPr>
              <w:rPr>
                <w:lang w:val="da-DK"/>
              </w:rPr>
            </w:pPr>
            <w:r>
              <w:rPr>
                <w:lang w:val="da-DK"/>
              </w:rPr>
              <w:t>Hævelse af øjet med el</w:t>
            </w:r>
            <w:r w:rsidR="00CA3202">
              <w:rPr>
                <w:lang w:val="da-DK"/>
              </w:rPr>
              <w:t>.</w:t>
            </w:r>
            <w:r>
              <w:rPr>
                <w:lang w:val="da-DK"/>
              </w:rPr>
              <w:t xml:space="preserve"> uden rødme</w:t>
            </w:r>
          </w:p>
        </w:tc>
        <w:tc>
          <w:tcPr>
            <w:tcW w:w="2593" w:type="dxa"/>
          </w:tcPr>
          <w:p w14:paraId="15AD7692" w14:textId="370A7594" w:rsidR="0003367F" w:rsidRDefault="0003367F" w:rsidP="008F493F">
            <w:pPr>
              <w:rPr>
                <w:lang w:val="da-DK"/>
              </w:rPr>
            </w:pPr>
            <w:r>
              <w:rPr>
                <w:lang w:val="da-DK"/>
              </w:rPr>
              <w:t>Ja</w:t>
            </w:r>
          </w:p>
        </w:tc>
        <w:tc>
          <w:tcPr>
            <w:tcW w:w="3207" w:type="dxa"/>
          </w:tcPr>
          <w:p w14:paraId="3AAA8685" w14:textId="274D7127" w:rsidR="0003367F" w:rsidRDefault="0003367F" w:rsidP="008F493F">
            <w:pPr>
              <w:rPr>
                <w:lang w:val="da-DK"/>
              </w:rPr>
            </w:pPr>
            <w:r>
              <w:rPr>
                <w:lang w:val="da-DK"/>
              </w:rPr>
              <w:t>Ja</w:t>
            </w:r>
          </w:p>
        </w:tc>
      </w:tr>
      <w:tr w:rsidR="0003367F" w:rsidRPr="005A78CE" w14:paraId="35A0B13A" w14:textId="77777777" w:rsidTr="00223388">
        <w:tc>
          <w:tcPr>
            <w:tcW w:w="3823" w:type="dxa"/>
          </w:tcPr>
          <w:p w14:paraId="44205B52" w14:textId="49D9E186" w:rsidR="0003367F" w:rsidRDefault="33B1C8D4" w:rsidP="008F493F">
            <w:pPr>
              <w:rPr>
                <w:lang w:val="da-DK"/>
              </w:rPr>
            </w:pPr>
            <w:r w:rsidRPr="5967AC15">
              <w:rPr>
                <w:lang w:val="da-DK"/>
              </w:rPr>
              <w:t>Øm</w:t>
            </w:r>
            <w:r w:rsidR="20ECEC1B" w:rsidRPr="5967AC15">
              <w:rPr>
                <w:lang w:val="da-DK"/>
              </w:rPr>
              <w:t>t</w:t>
            </w:r>
            <w:r w:rsidRPr="5967AC15">
              <w:rPr>
                <w:lang w:val="da-DK"/>
              </w:rPr>
              <w:t xml:space="preserve"> eller smertefuldt øje</w:t>
            </w:r>
          </w:p>
        </w:tc>
        <w:tc>
          <w:tcPr>
            <w:tcW w:w="2593" w:type="dxa"/>
          </w:tcPr>
          <w:p w14:paraId="285C3E52" w14:textId="0734243D" w:rsidR="0003367F" w:rsidRDefault="0003367F" w:rsidP="008F493F">
            <w:pPr>
              <w:rPr>
                <w:lang w:val="da-DK"/>
              </w:rPr>
            </w:pPr>
            <w:r>
              <w:rPr>
                <w:lang w:val="da-DK"/>
              </w:rPr>
              <w:t>Kan forekomme</w:t>
            </w:r>
          </w:p>
        </w:tc>
        <w:tc>
          <w:tcPr>
            <w:tcW w:w="3207" w:type="dxa"/>
          </w:tcPr>
          <w:p w14:paraId="75CF87FB" w14:textId="6F334403" w:rsidR="0003367F" w:rsidRDefault="0003367F" w:rsidP="008F493F">
            <w:pPr>
              <w:rPr>
                <w:lang w:val="da-DK"/>
              </w:rPr>
            </w:pPr>
            <w:r>
              <w:rPr>
                <w:lang w:val="da-DK"/>
              </w:rPr>
              <w:t>Ja</w:t>
            </w:r>
          </w:p>
        </w:tc>
      </w:tr>
      <w:tr w:rsidR="0003367F" w14:paraId="238D3258" w14:textId="77777777" w:rsidTr="00223388">
        <w:tc>
          <w:tcPr>
            <w:tcW w:w="3823" w:type="dxa"/>
          </w:tcPr>
          <w:p w14:paraId="70BBE073" w14:textId="30355866" w:rsidR="0003367F" w:rsidRDefault="0003367F" w:rsidP="008F493F">
            <w:pPr>
              <w:rPr>
                <w:lang w:val="da-DK"/>
              </w:rPr>
            </w:pPr>
            <w:r>
              <w:rPr>
                <w:lang w:val="da-DK"/>
              </w:rPr>
              <w:t>Smerter ved øjenbevægelser</w:t>
            </w:r>
          </w:p>
        </w:tc>
        <w:tc>
          <w:tcPr>
            <w:tcW w:w="2593" w:type="dxa"/>
          </w:tcPr>
          <w:p w14:paraId="729E8892" w14:textId="098D1B59" w:rsidR="0003367F" w:rsidRDefault="0003367F" w:rsidP="008F493F">
            <w:pPr>
              <w:rPr>
                <w:lang w:val="da-DK"/>
              </w:rPr>
            </w:pPr>
            <w:r>
              <w:rPr>
                <w:lang w:val="da-DK"/>
              </w:rPr>
              <w:t>Nej</w:t>
            </w:r>
          </w:p>
        </w:tc>
        <w:tc>
          <w:tcPr>
            <w:tcW w:w="3207" w:type="dxa"/>
          </w:tcPr>
          <w:p w14:paraId="46EA3F5A" w14:textId="055ED417" w:rsidR="0003367F" w:rsidRDefault="0003367F" w:rsidP="008F493F">
            <w:pPr>
              <w:rPr>
                <w:lang w:val="da-DK"/>
              </w:rPr>
            </w:pPr>
            <w:r>
              <w:rPr>
                <w:lang w:val="da-DK"/>
              </w:rPr>
              <w:t>Ja</w:t>
            </w:r>
          </w:p>
        </w:tc>
      </w:tr>
      <w:tr w:rsidR="0003367F" w:rsidRPr="00B25532" w14:paraId="4A1882FE" w14:textId="77777777" w:rsidTr="00223388">
        <w:tc>
          <w:tcPr>
            <w:tcW w:w="3823" w:type="dxa"/>
          </w:tcPr>
          <w:p w14:paraId="7AD11ADA" w14:textId="213E72DF" w:rsidR="0003367F" w:rsidRDefault="00FA3D7A" w:rsidP="008F493F">
            <w:pPr>
              <w:rPr>
                <w:lang w:val="da-DK"/>
              </w:rPr>
            </w:pPr>
            <w:r>
              <w:rPr>
                <w:lang w:val="da-DK"/>
              </w:rPr>
              <w:t>Udstående øjne (</w:t>
            </w:r>
            <w:proofErr w:type="spellStart"/>
            <w:r>
              <w:rPr>
                <w:lang w:val="da-DK"/>
              </w:rPr>
              <w:t>Proptosis</w:t>
            </w:r>
            <w:proofErr w:type="spellEnd"/>
            <w:r>
              <w:rPr>
                <w:lang w:val="da-DK"/>
              </w:rPr>
              <w:t>)</w:t>
            </w:r>
          </w:p>
        </w:tc>
        <w:tc>
          <w:tcPr>
            <w:tcW w:w="2593" w:type="dxa"/>
          </w:tcPr>
          <w:p w14:paraId="430028F0" w14:textId="73C99872" w:rsidR="0003367F" w:rsidRDefault="00FA3D7A" w:rsidP="008F493F">
            <w:pPr>
              <w:rPr>
                <w:lang w:val="da-DK"/>
              </w:rPr>
            </w:pPr>
            <w:r>
              <w:rPr>
                <w:lang w:val="da-DK"/>
              </w:rPr>
              <w:t>Nej</w:t>
            </w:r>
          </w:p>
        </w:tc>
        <w:tc>
          <w:tcPr>
            <w:tcW w:w="3207" w:type="dxa"/>
          </w:tcPr>
          <w:p w14:paraId="782F4FE2" w14:textId="0FAE1ACF" w:rsidR="0003367F" w:rsidRDefault="00FA3D7A" w:rsidP="008F493F">
            <w:pPr>
              <w:rPr>
                <w:lang w:val="da-DK"/>
              </w:rPr>
            </w:pPr>
            <w:r>
              <w:rPr>
                <w:lang w:val="da-DK"/>
              </w:rPr>
              <w:t>Oftest, men kan være diskret</w:t>
            </w:r>
          </w:p>
        </w:tc>
      </w:tr>
      <w:tr w:rsidR="0003367F" w14:paraId="2F98A1E7" w14:textId="77777777" w:rsidTr="00223388">
        <w:tc>
          <w:tcPr>
            <w:tcW w:w="3823" w:type="dxa"/>
          </w:tcPr>
          <w:p w14:paraId="296627B6" w14:textId="51831800" w:rsidR="0003367F" w:rsidRDefault="00FA3D7A" w:rsidP="008F493F">
            <w:pPr>
              <w:rPr>
                <w:lang w:val="da-DK"/>
              </w:rPr>
            </w:pPr>
            <w:proofErr w:type="spellStart"/>
            <w:r>
              <w:rPr>
                <w:lang w:val="da-DK"/>
              </w:rPr>
              <w:t>Ofthalmoplegi</w:t>
            </w:r>
            <w:proofErr w:type="spellEnd"/>
            <w:r>
              <w:rPr>
                <w:lang w:val="da-DK"/>
              </w:rPr>
              <w:t xml:space="preserve"> +/- dobbeltsyn</w:t>
            </w:r>
          </w:p>
        </w:tc>
        <w:tc>
          <w:tcPr>
            <w:tcW w:w="2593" w:type="dxa"/>
          </w:tcPr>
          <w:p w14:paraId="4F0E3800" w14:textId="2D3CA4B9" w:rsidR="0003367F" w:rsidRDefault="00FA3D7A" w:rsidP="008F493F">
            <w:pPr>
              <w:rPr>
                <w:lang w:val="da-DK"/>
              </w:rPr>
            </w:pPr>
            <w:r>
              <w:rPr>
                <w:lang w:val="da-DK"/>
              </w:rPr>
              <w:t>Nej</w:t>
            </w:r>
          </w:p>
        </w:tc>
        <w:tc>
          <w:tcPr>
            <w:tcW w:w="3207" w:type="dxa"/>
          </w:tcPr>
          <w:p w14:paraId="6F872B65" w14:textId="0A881631" w:rsidR="0003367F" w:rsidRDefault="00FA3D7A" w:rsidP="008F493F">
            <w:pPr>
              <w:rPr>
                <w:lang w:val="da-DK"/>
              </w:rPr>
            </w:pPr>
            <w:r>
              <w:rPr>
                <w:lang w:val="da-DK"/>
              </w:rPr>
              <w:t>Kan forekomme</w:t>
            </w:r>
          </w:p>
        </w:tc>
      </w:tr>
      <w:tr w:rsidR="0003367F" w14:paraId="0AE68319" w14:textId="77777777" w:rsidTr="00223388">
        <w:tc>
          <w:tcPr>
            <w:tcW w:w="3823" w:type="dxa"/>
          </w:tcPr>
          <w:p w14:paraId="0D87D717" w14:textId="346119B1" w:rsidR="0003367F" w:rsidRDefault="00FA3D7A" w:rsidP="008F493F">
            <w:pPr>
              <w:rPr>
                <w:lang w:val="da-DK"/>
              </w:rPr>
            </w:pPr>
            <w:r>
              <w:rPr>
                <w:lang w:val="da-DK"/>
              </w:rPr>
              <w:t>Synspåvirkning</w:t>
            </w:r>
          </w:p>
        </w:tc>
        <w:tc>
          <w:tcPr>
            <w:tcW w:w="2593" w:type="dxa"/>
          </w:tcPr>
          <w:p w14:paraId="2F533B5D" w14:textId="119FFFE6" w:rsidR="0003367F" w:rsidRDefault="00FA3D7A" w:rsidP="008F493F">
            <w:pPr>
              <w:rPr>
                <w:lang w:val="da-DK"/>
              </w:rPr>
            </w:pPr>
            <w:r>
              <w:rPr>
                <w:lang w:val="da-DK"/>
              </w:rPr>
              <w:t>Nej</w:t>
            </w:r>
          </w:p>
        </w:tc>
        <w:tc>
          <w:tcPr>
            <w:tcW w:w="3207" w:type="dxa"/>
          </w:tcPr>
          <w:p w14:paraId="2719267E" w14:textId="4228E136" w:rsidR="0003367F" w:rsidRDefault="00FA3D7A" w:rsidP="008F493F">
            <w:pPr>
              <w:rPr>
                <w:lang w:val="da-DK"/>
              </w:rPr>
            </w:pPr>
            <w:r>
              <w:rPr>
                <w:lang w:val="da-DK"/>
              </w:rPr>
              <w:t>Kan forekomme *</w:t>
            </w:r>
          </w:p>
        </w:tc>
      </w:tr>
      <w:tr w:rsidR="0003367F" w14:paraId="415FA1C5" w14:textId="77777777" w:rsidTr="00223388">
        <w:tc>
          <w:tcPr>
            <w:tcW w:w="3823" w:type="dxa"/>
          </w:tcPr>
          <w:p w14:paraId="484008F5" w14:textId="4820AE70" w:rsidR="0003367F" w:rsidRDefault="00FA3D7A" w:rsidP="008F493F">
            <w:pPr>
              <w:rPr>
                <w:lang w:val="da-DK"/>
              </w:rPr>
            </w:pPr>
            <w:proofErr w:type="spellStart"/>
            <w:r>
              <w:rPr>
                <w:lang w:val="da-DK"/>
              </w:rPr>
              <w:t>Chemosis</w:t>
            </w:r>
            <w:proofErr w:type="spellEnd"/>
            <w:r>
              <w:rPr>
                <w:lang w:val="da-DK"/>
              </w:rPr>
              <w:t xml:space="preserve"> (konjunktivalt ødem)</w:t>
            </w:r>
          </w:p>
        </w:tc>
        <w:tc>
          <w:tcPr>
            <w:tcW w:w="2593" w:type="dxa"/>
          </w:tcPr>
          <w:p w14:paraId="5BA485A8" w14:textId="28D0E245" w:rsidR="0003367F" w:rsidRDefault="00FA3D7A" w:rsidP="008F493F">
            <w:pPr>
              <w:rPr>
                <w:lang w:val="da-DK"/>
              </w:rPr>
            </w:pPr>
            <w:r>
              <w:rPr>
                <w:lang w:val="da-DK"/>
              </w:rPr>
              <w:t>Ses sjældent</w:t>
            </w:r>
          </w:p>
        </w:tc>
        <w:tc>
          <w:tcPr>
            <w:tcW w:w="3207" w:type="dxa"/>
          </w:tcPr>
          <w:p w14:paraId="51A85206" w14:textId="708533E6" w:rsidR="0003367F" w:rsidRDefault="00FA3D7A" w:rsidP="008F493F">
            <w:pPr>
              <w:rPr>
                <w:lang w:val="da-DK"/>
              </w:rPr>
            </w:pPr>
            <w:r>
              <w:rPr>
                <w:lang w:val="da-DK"/>
              </w:rPr>
              <w:t>Kan forekomme</w:t>
            </w:r>
          </w:p>
        </w:tc>
      </w:tr>
      <w:tr w:rsidR="0003367F" w14:paraId="6026AFC0" w14:textId="77777777" w:rsidTr="00223388">
        <w:tc>
          <w:tcPr>
            <w:tcW w:w="3823" w:type="dxa"/>
          </w:tcPr>
          <w:p w14:paraId="0CCDEA7F" w14:textId="4124FFA8" w:rsidR="0003367F" w:rsidRDefault="00FA3D7A" w:rsidP="008F493F">
            <w:pPr>
              <w:rPr>
                <w:lang w:val="da-DK"/>
              </w:rPr>
            </w:pPr>
            <w:r>
              <w:rPr>
                <w:lang w:val="da-DK"/>
              </w:rPr>
              <w:t>Feber</w:t>
            </w:r>
          </w:p>
        </w:tc>
        <w:tc>
          <w:tcPr>
            <w:tcW w:w="2593" w:type="dxa"/>
          </w:tcPr>
          <w:p w14:paraId="52A9BB24" w14:textId="6E1EC1B5" w:rsidR="0003367F" w:rsidRDefault="00FA3D7A" w:rsidP="008F493F">
            <w:pPr>
              <w:rPr>
                <w:lang w:val="da-DK"/>
              </w:rPr>
            </w:pPr>
            <w:r>
              <w:rPr>
                <w:lang w:val="da-DK"/>
              </w:rPr>
              <w:t>Kan forekomme</w:t>
            </w:r>
          </w:p>
        </w:tc>
        <w:tc>
          <w:tcPr>
            <w:tcW w:w="3207" w:type="dxa"/>
          </w:tcPr>
          <w:p w14:paraId="547D25F9" w14:textId="2CFA40DB" w:rsidR="0003367F" w:rsidRDefault="00FA3D7A" w:rsidP="008F493F">
            <w:pPr>
              <w:rPr>
                <w:lang w:val="da-DK"/>
              </w:rPr>
            </w:pPr>
            <w:r>
              <w:rPr>
                <w:lang w:val="da-DK"/>
              </w:rPr>
              <w:t>Forekommer oftest</w:t>
            </w:r>
          </w:p>
        </w:tc>
      </w:tr>
      <w:tr w:rsidR="0003367F" w14:paraId="695A577A" w14:textId="77777777" w:rsidTr="00223388">
        <w:tc>
          <w:tcPr>
            <w:tcW w:w="3823" w:type="dxa"/>
          </w:tcPr>
          <w:p w14:paraId="473140FA" w14:textId="4370A8AC" w:rsidR="0003367F" w:rsidRDefault="00FA3D7A" w:rsidP="008F493F">
            <w:pPr>
              <w:rPr>
                <w:lang w:val="da-DK"/>
              </w:rPr>
            </w:pPr>
            <w:r>
              <w:rPr>
                <w:lang w:val="da-DK"/>
              </w:rPr>
              <w:t>Leukocytose</w:t>
            </w:r>
          </w:p>
        </w:tc>
        <w:tc>
          <w:tcPr>
            <w:tcW w:w="2593" w:type="dxa"/>
          </w:tcPr>
          <w:p w14:paraId="479683B2" w14:textId="5403A3C0" w:rsidR="0003367F" w:rsidRDefault="00FA3D7A" w:rsidP="008F493F">
            <w:pPr>
              <w:rPr>
                <w:lang w:val="da-DK"/>
              </w:rPr>
            </w:pPr>
            <w:r>
              <w:rPr>
                <w:lang w:val="da-DK"/>
              </w:rPr>
              <w:t>Kan forekomme</w:t>
            </w:r>
          </w:p>
        </w:tc>
        <w:tc>
          <w:tcPr>
            <w:tcW w:w="3207" w:type="dxa"/>
          </w:tcPr>
          <w:p w14:paraId="74472B70" w14:textId="2AADF1B7" w:rsidR="0003367F" w:rsidRDefault="00FA3D7A" w:rsidP="008F493F">
            <w:pPr>
              <w:rPr>
                <w:lang w:val="da-DK"/>
              </w:rPr>
            </w:pPr>
            <w:r>
              <w:rPr>
                <w:lang w:val="da-DK"/>
              </w:rPr>
              <w:t>Kan forekomme</w:t>
            </w:r>
          </w:p>
        </w:tc>
      </w:tr>
    </w:tbl>
    <w:p w14:paraId="1354D626" w14:textId="2E9FFDD7" w:rsidR="00285121" w:rsidRPr="003B0EE9" w:rsidRDefault="0065743D" w:rsidP="0065743D">
      <w:pPr>
        <w:rPr>
          <w:lang w:val="da-DK"/>
        </w:rPr>
      </w:pPr>
      <w:r>
        <w:rPr>
          <w:lang w:val="da-DK"/>
        </w:rPr>
        <w:t>*</w:t>
      </w:r>
      <w:r w:rsidR="00223388" w:rsidRPr="00223388">
        <w:rPr>
          <w:lang w:val="da-DK"/>
        </w:rPr>
        <w:t xml:space="preserve"> </w:t>
      </w:r>
      <w:r w:rsidR="00223388">
        <w:rPr>
          <w:lang w:val="da-DK"/>
        </w:rPr>
        <w:t xml:space="preserve">Hvis der ses relativ </w:t>
      </w:r>
      <w:proofErr w:type="spellStart"/>
      <w:r w:rsidR="00223388">
        <w:rPr>
          <w:lang w:val="da-DK"/>
        </w:rPr>
        <w:t>a</w:t>
      </w:r>
      <w:r w:rsidR="00223388" w:rsidRPr="0065743D">
        <w:rPr>
          <w:lang w:val="da-DK"/>
        </w:rPr>
        <w:t>fferent</w:t>
      </w:r>
      <w:proofErr w:type="spellEnd"/>
      <w:r w:rsidR="00223388" w:rsidRPr="0065743D">
        <w:rPr>
          <w:lang w:val="da-DK"/>
        </w:rPr>
        <w:t xml:space="preserve"> pupil defekt </w:t>
      </w:r>
      <w:r w:rsidR="00223388" w:rsidRPr="003B0EE9">
        <w:rPr>
          <w:lang w:val="da-DK"/>
        </w:rPr>
        <w:t>(RAPD)</w:t>
      </w:r>
      <w:r w:rsidR="00DD6A37">
        <w:rPr>
          <w:lang w:val="da-DK"/>
        </w:rPr>
        <w:t xml:space="preserve"> er synet true</w:t>
      </w:r>
      <w:r w:rsidR="002D4B9B">
        <w:rPr>
          <w:lang w:val="da-DK"/>
        </w:rPr>
        <w:t xml:space="preserve">t. </w:t>
      </w:r>
      <w:r w:rsidR="00711CE5" w:rsidRPr="005E045C">
        <w:rPr>
          <w:lang w:val="da-DK"/>
        </w:rPr>
        <w:t>RAPD er et fund ved svingende lygte-test, hvor begge pupiller paradoksalt </w:t>
      </w:r>
      <w:proofErr w:type="spellStart"/>
      <w:r w:rsidR="00711CE5" w:rsidRPr="005E045C">
        <w:rPr>
          <w:lang w:val="da-DK"/>
        </w:rPr>
        <w:t>dilaterer</w:t>
      </w:r>
      <w:proofErr w:type="spellEnd"/>
      <w:r w:rsidR="00711CE5" w:rsidRPr="005E045C">
        <w:rPr>
          <w:lang w:val="da-DK"/>
        </w:rPr>
        <w:t xml:space="preserve">, når lyset flyttes til det syge øje, hvilket afspejler unilateral eller asymmetrisk </w:t>
      </w:r>
      <w:proofErr w:type="spellStart"/>
      <w:r w:rsidR="00711CE5" w:rsidRPr="005E045C">
        <w:rPr>
          <w:lang w:val="da-DK"/>
        </w:rPr>
        <w:t>afferent</w:t>
      </w:r>
      <w:proofErr w:type="spellEnd"/>
      <w:r w:rsidR="00711CE5" w:rsidRPr="005E045C">
        <w:rPr>
          <w:lang w:val="da-DK"/>
        </w:rPr>
        <w:t xml:space="preserve"> synsbaneskade (typisk </w:t>
      </w:r>
      <w:proofErr w:type="spellStart"/>
      <w:r w:rsidR="00711CE5" w:rsidRPr="005E045C">
        <w:rPr>
          <w:lang w:val="da-DK"/>
        </w:rPr>
        <w:t>retina</w:t>
      </w:r>
      <w:proofErr w:type="spellEnd"/>
      <w:r w:rsidR="00711CE5" w:rsidRPr="005E045C">
        <w:rPr>
          <w:lang w:val="da-DK"/>
        </w:rPr>
        <w:t>/</w:t>
      </w:r>
      <w:proofErr w:type="spellStart"/>
      <w:r w:rsidR="00711CE5" w:rsidRPr="005E045C">
        <w:rPr>
          <w:lang w:val="da-DK"/>
        </w:rPr>
        <w:t>opticus</w:t>
      </w:r>
      <w:proofErr w:type="spellEnd"/>
      <w:r w:rsidR="00711CE5" w:rsidRPr="005E045C">
        <w:rPr>
          <w:lang w:val="da-DK"/>
        </w:rPr>
        <w:t>).</w:t>
      </w:r>
      <w:r w:rsidR="00711CE5" w:rsidRPr="00711CE5">
        <w:rPr>
          <w:lang w:val="da-DK"/>
        </w:rPr>
        <w:t xml:space="preserve"> </w:t>
      </w:r>
    </w:p>
    <w:p w14:paraId="536EFF25" w14:textId="77777777" w:rsidR="00E8645D" w:rsidRPr="0065743D" w:rsidRDefault="00E8645D" w:rsidP="0065743D">
      <w:pPr>
        <w:rPr>
          <w:lang w:val="da-DK"/>
        </w:rPr>
      </w:pPr>
    </w:p>
    <w:p w14:paraId="1CD885C1" w14:textId="29D632A7" w:rsidR="008F493F" w:rsidRPr="00B355A8" w:rsidRDefault="008F493F" w:rsidP="008F493F">
      <w:pPr>
        <w:pStyle w:val="Overskrift2"/>
        <w:rPr>
          <w:lang w:val="da-DK"/>
        </w:rPr>
      </w:pPr>
      <w:bookmarkStart w:id="25" w:name="_Toc216974763"/>
      <w:bookmarkStart w:id="26" w:name="_Toc216975315"/>
      <w:bookmarkStart w:id="27" w:name="_Toc217021568"/>
      <w:bookmarkStart w:id="28" w:name="_Toc223506093"/>
      <w:bookmarkStart w:id="29" w:name="_Toc223506397"/>
      <w:bookmarkStart w:id="30" w:name="_Toc223506442"/>
      <w:bookmarkStart w:id="31" w:name="_Toc473054370"/>
      <w:r w:rsidRPr="00B355A8">
        <w:rPr>
          <w:lang w:val="da-DK"/>
        </w:rPr>
        <w:t>Differentialdiagnose</w:t>
      </w:r>
      <w:bookmarkEnd w:id="25"/>
      <w:bookmarkEnd w:id="26"/>
      <w:bookmarkEnd w:id="27"/>
      <w:bookmarkEnd w:id="28"/>
      <w:bookmarkEnd w:id="29"/>
      <w:bookmarkEnd w:id="30"/>
      <w:bookmarkEnd w:id="31"/>
      <w:r w:rsidR="00223388">
        <w:rPr>
          <w:lang w:val="da-DK"/>
        </w:rPr>
        <w:t>r</w:t>
      </w:r>
    </w:p>
    <w:p w14:paraId="1BA6CA7E" w14:textId="0A3F74CC" w:rsidR="005F0D19" w:rsidRPr="00CA3202" w:rsidRDefault="00E23064" w:rsidP="00CA3202">
      <w:pPr>
        <w:pStyle w:val="Listeafsnit"/>
        <w:numPr>
          <w:ilvl w:val="0"/>
          <w:numId w:val="24"/>
        </w:numPr>
        <w:rPr>
          <w:b/>
          <w:lang w:val="da-DK"/>
        </w:rPr>
      </w:pPr>
      <w:r w:rsidRPr="005F0D19">
        <w:rPr>
          <w:b/>
          <w:lang w:val="da-DK"/>
        </w:rPr>
        <w:t>Allergisk reaktion:</w:t>
      </w:r>
      <w:r w:rsidR="005F0D19" w:rsidRPr="005F0D19">
        <w:rPr>
          <w:b/>
          <w:lang w:val="da-DK"/>
        </w:rPr>
        <w:t xml:space="preserve"> </w:t>
      </w:r>
      <w:r w:rsidR="00713303" w:rsidRPr="005F0D19">
        <w:rPr>
          <w:lang w:val="da-DK"/>
        </w:rPr>
        <w:t xml:space="preserve">Kan ligne </w:t>
      </w:r>
      <w:proofErr w:type="spellStart"/>
      <w:r w:rsidR="00713303" w:rsidRPr="005F0D19">
        <w:rPr>
          <w:lang w:val="da-DK"/>
        </w:rPr>
        <w:t>periorbital</w:t>
      </w:r>
      <w:proofErr w:type="spellEnd"/>
      <w:r w:rsidRPr="005F0D19">
        <w:rPr>
          <w:lang w:val="da-DK"/>
        </w:rPr>
        <w:t xml:space="preserve"> cellulitis, men ofte vil der være en historie med eksposition for muligt allergen.</w:t>
      </w:r>
      <w:r w:rsidR="005E0F64">
        <w:rPr>
          <w:lang w:val="da-DK"/>
        </w:rPr>
        <w:t xml:space="preserve"> </w:t>
      </w:r>
      <w:r w:rsidR="00CA3202">
        <w:rPr>
          <w:lang w:val="da-DK"/>
        </w:rPr>
        <w:t>Oftest bilateral manifestation i modsætning til cellulitis.</w:t>
      </w:r>
    </w:p>
    <w:p w14:paraId="259D5C20" w14:textId="77777777" w:rsidR="005F0D19" w:rsidRPr="005F0D19" w:rsidRDefault="00E23064" w:rsidP="000E387E">
      <w:pPr>
        <w:pStyle w:val="Listeafsnit"/>
        <w:numPr>
          <w:ilvl w:val="0"/>
          <w:numId w:val="24"/>
        </w:numPr>
        <w:rPr>
          <w:b/>
          <w:lang w:val="da-DK"/>
        </w:rPr>
      </w:pPr>
      <w:proofErr w:type="spellStart"/>
      <w:r w:rsidRPr="005F0D19">
        <w:rPr>
          <w:b/>
          <w:lang w:val="da-DK"/>
        </w:rPr>
        <w:t>Konjunktivitis</w:t>
      </w:r>
      <w:proofErr w:type="spellEnd"/>
      <w:r w:rsidRPr="005F0D19">
        <w:rPr>
          <w:b/>
          <w:lang w:val="da-DK"/>
        </w:rPr>
        <w:t>:</w:t>
      </w:r>
      <w:r w:rsidR="005F0D19" w:rsidRPr="005F0D19">
        <w:rPr>
          <w:b/>
          <w:lang w:val="da-DK"/>
        </w:rPr>
        <w:t xml:space="preserve"> </w:t>
      </w:r>
      <w:r w:rsidRPr="005F0D19">
        <w:rPr>
          <w:lang w:val="da-DK"/>
        </w:rPr>
        <w:t>Medfører kun sjældent rødme og hævelse af selve øjenlåget.</w:t>
      </w:r>
      <w:r w:rsidR="005F0D19" w:rsidRPr="005F0D19">
        <w:rPr>
          <w:lang w:val="da-DK"/>
        </w:rPr>
        <w:t xml:space="preserve"> </w:t>
      </w:r>
    </w:p>
    <w:p w14:paraId="6668F059" w14:textId="38A0913C" w:rsidR="008F493F" w:rsidRDefault="00E23064" w:rsidP="008F493F">
      <w:pPr>
        <w:pStyle w:val="Listeafsnit"/>
        <w:numPr>
          <w:ilvl w:val="0"/>
          <w:numId w:val="24"/>
        </w:numPr>
        <w:rPr>
          <w:lang w:val="da-DK"/>
        </w:rPr>
      </w:pPr>
      <w:proofErr w:type="spellStart"/>
      <w:r w:rsidRPr="005F0D19">
        <w:rPr>
          <w:b/>
          <w:lang w:val="da-DK"/>
        </w:rPr>
        <w:t>Hordeolum</w:t>
      </w:r>
      <w:proofErr w:type="spellEnd"/>
      <w:r w:rsidRPr="005F0D19">
        <w:rPr>
          <w:b/>
          <w:lang w:val="da-DK"/>
        </w:rPr>
        <w:t xml:space="preserve"> </w:t>
      </w:r>
      <w:r w:rsidR="00E54E67" w:rsidRPr="005F0D19">
        <w:rPr>
          <w:b/>
          <w:lang w:val="da-DK"/>
        </w:rPr>
        <w:t xml:space="preserve">(bygkorn) </w:t>
      </w:r>
      <w:r w:rsidRPr="005F0D19">
        <w:rPr>
          <w:b/>
          <w:lang w:val="da-DK"/>
        </w:rPr>
        <w:t xml:space="preserve">og </w:t>
      </w:r>
      <w:proofErr w:type="spellStart"/>
      <w:r w:rsidRPr="005F0D19">
        <w:rPr>
          <w:b/>
          <w:lang w:val="da-DK"/>
        </w:rPr>
        <w:t>chalazion</w:t>
      </w:r>
      <w:proofErr w:type="spellEnd"/>
      <w:r w:rsidR="00E54E67" w:rsidRPr="005F0D19">
        <w:rPr>
          <w:b/>
          <w:lang w:val="da-DK"/>
        </w:rPr>
        <w:t xml:space="preserve"> (haglkorn)</w:t>
      </w:r>
      <w:r w:rsidRPr="005F0D19">
        <w:rPr>
          <w:b/>
          <w:lang w:val="da-DK"/>
        </w:rPr>
        <w:t>:</w:t>
      </w:r>
      <w:r w:rsidR="005F0D19" w:rsidRPr="005F0D19">
        <w:rPr>
          <w:b/>
          <w:lang w:val="da-DK"/>
        </w:rPr>
        <w:t xml:space="preserve"> </w:t>
      </w:r>
      <w:r w:rsidRPr="005F0D19">
        <w:rPr>
          <w:lang w:val="da-DK"/>
        </w:rPr>
        <w:t>Kan medføre rødme og let hævelse lokalt, men vil o</w:t>
      </w:r>
      <w:r w:rsidR="00B845F3" w:rsidRPr="005F0D19">
        <w:rPr>
          <w:lang w:val="da-DK"/>
        </w:rPr>
        <w:t xml:space="preserve">fte være afgrænset til en </w:t>
      </w:r>
      <w:proofErr w:type="spellStart"/>
      <w:r w:rsidR="00B845F3" w:rsidRPr="005F0D19">
        <w:rPr>
          <w:lang w:val="da-DK"/>
        </w:rPr>
        <w:t>nodulæ</w:t>
      </w:r>
      <w:r w:rsidRPr="005F0D19">
        <w:rPr>
          <w:lang w:val="da-DK"/>
        </w:rPr>
        <w:t>r</w:t>
      </w:r>
      <w:proofErr w:type="spellEnd"/>
      <w:r w:rsidRPr="005F0D19">
        <w:rPr>
          <w:lang w:val="da-DK"/>
        </w:rPr>
        <w:t xml:space="preserve"> </w:t>
      </w:r>
      <w:r w:rsidR="00713303" w:rsidRPr="005F0D19">
        <w:rPr>
          <w:lang w:val="da-DK"/>
        </w:rPr>
        <w:t xml:space="preserve">læsion i modsætning til en mere diffus udbredelse ved </w:t>
      </w:r>
      <w:proofErr w:type="spellStart"/>
      <w:r w:rsidR="00713303" w:rsidRPr="005F0D19">
        <w:rPr>
          <w:lang w:val="da-DK"/>
        </w:rPr>
        <w:t>periorbital</w:t>
      </w:r>
      <w:proofErr w:type="spellEnd"/>
      <w:r w:rsidR="00713303" w:rsidRPr="005F0D19">
        <w:rPr>
          <w:lang w:val="da-DK"/>
        </w:rPr>
        <w:t xml:space="preserve"> cellulitis.</w:t>
      </w:r>
    </w:p>
    <w:p w14:paraId="4791F26E" w14:textId="65816B03" w:rsidR="00CA3202" w:rsidRPr="00FA4E40" w:rsidRDefault="00CA3202" w:rsidP="00FA4E40">
      <w:pPr>
        <w:pStyle w:val="Listeafsnit"/>
        <w:numPr>
          <w:ilvl w:val="0"/>
          <w:numId w:val="24"/>
        </w:numPr>
        <w:rPr>
          <w:lang w:val="da-DK"/>
        </w:rPr>
      </w:pPr>
      <w:r w:rsidRPr="003B0EE9">
        <w:rPr>
          <w:b/>
          <w:lang w:val="da-DK"/>
        </w:rPr>
        <w:t>Herpes infektioner (HSV)</w:t>
      </w:r>
      <w:r w:rsidR="00956542">
        <w:rPr>
          <w:b/>
          <w:lang w:val="da-DK"/>
        </w:rPr>
        <w:t xml:space="preserve"> eller </w:t>
      </w:r>
      <w:proofErr w:type="spellStart"/>
      <w:r w:rsidR="00956542">
        <w:rPr>
          <w:b/>
          <w:lang w:val="da-DK"/>
        </w:rPr>
        <w:t>vari</w:t>
      </w:r>
      <w:r w:rsidR="009F39D5">
        <w:rPr>
          <w:b/>
          <w:lang w:val="da-DK"/>
        </w:rPr>
        <w:t>cella</w:t>
      </w:r>
      <w:proofErr w:type="spellEnd"/>
      <w:r w:rsidR="009F39D5">
        <w:rPr>
          <w:b/>
          <w:lang w:val="da-DK"/>
        </w:rPr>
        <w:t xml:space="preserve"> </w:t>
      </w:r>
      <w:proofErr w:type="spellStart"/>
      <w:r w:rsidR="009F39D5">
        <w:rPr>
          <w:b/>
          <w:lang w:val="da-DK"/>
        </w:rPr>
        <w:t>zoster</w:t>
      </w:r>
      <w:proofErr w:type="spellEnd"/>
      <w:r w:rsidR="009F39D5">
        <w:rPr>
          <w:b/>
          <w:lang w:val="da-DK"/>
        </w:rPr>
        <w:t xml:space="preserve"> (VZV) infektioner</w:t>
      </w:r>
      <w:r w:rsidRPr="003B0EE9">
        <w:rPr>
          <w:b/>
          <w:lang w:val="da-DK"/>
        </w:rPr>
        <w:t>:</w:t>
      </w:r>
      <w:r w:rsidRPr="003B0EE9">
        <w:rPr>
          <w:lang w:val="da-DK"/>
        </w:rPr>
        <w:t xml:space="preserve"> </w:t>
      </w:r>
      <w:r w:rsidR="00FA4E40">
        <w:rPr>
          <w:lang w:val="da-DK"/>
        </w:rPr>
        <w:t xml:space="preserve">Oftest karakteriseret ved smertefulde </w:t>
      </w:r>
      <w:proofErr w:type="spellStart"/>
      <w:r w:rsidR="00FA4E40">
        <w:rPr>
          <w:lang w:val="da-DK"/>
        </w:rPr>
        <w:t>vesikler</w:t>
      </w:r>
      <w:proofErr w:type="spellEnd"/>
      <w:r w:rsidR="00FA4E40">
        <w:rPr>
          <w:lang w:val="da-DK"/>
        </w:rPr>
        <w:t xml:space="preserve"> på </w:t>
      </w:r>
      <w:proofErr w:type="spellStart"/>
      <w:r w:rsidR="00FA4E40">
        <w:rPr>
          <w:lang w:val="da-DK"/>
        </w:rPr>
        <w:t>erytematøs</w:t>
      </w:r>
      <w:proofErr w:type="spellEnd"/>
      <w:r w:rsidR="00FA4E40">
        <w:rPr>
          <w:lang w:val="da-DK"/>
        </w:rPr>
        <w:t xml:space="preserve"> bund. Hævelsen er mindre udtalt. </w:t>
      </w:r>
      <w:r w:rsidR="00697A1D">
        <w:rPr>
          <w:lang w:val="da-DK"/>
        </w:rPr>
        <w:t xml:space="preserve">Mistanke kræver konference med øjenlæge. Herpes </w:t>
      </w:r>
      <w:proofErr w:type="spellStart"/>
      <w:r w:rsidR="00697A1D">
        <w:rPr>
          <w:lang w:val="da-DK"/>
        </w:rPr>
        <w:t>zoster</w:t>
      </w:r>
      <w:proofErr w:type="spellEnd"/>
      <w:r w:rsidR="00697A1D">
        <w:rPr>
          <w:lang w:val="da-DK"/>
        </w:rPr>
        <w:t xml:space="preserve"> (VZV) med involvering </w:t>
      </w:r>
      <w:r w:rsidR="00FA4E40">
        <w:rPr>
          <w:lang w:val="da-DK"/>
        </w:rPr>
        <w:t>af næse</w:t>
      </w:r>
      <w:r w:rsidR="00F9328B">
        <w:rPr>
          <w:lang w:val="da-DK"/>
        </w:rPr>
        <w:t>tip / siden af næsen giver særlig mistanke om involvering af øjet</w:t>
      </w:r>
      <w:r w:rsidR="00D011F7">
        <w:rPr>
          <w:lang w:val="da-DK"/>
        </w:rPr>
        <w:t xml:space="preserve">. </w:t>
      </w:r>
      <w:r w:rsidR="00FA4E40">
        <w:rPr>
          <w:lang w:val="da-DK"/>
        </w:rPr>
        <w:t xml:space="preserve"> </w:t>
      </w:r>
    </w:p>
    <w:p w14:paraId="1EF46ECB" w14:textId="58674227" w:rsidR="000909C7" w:rsidRPr="00E8645D" w:rsidRDefault="00CF6C01" w:rsidP="00CA3202">
      <w:pPr>
        <w:pStyle w:val="Listeafsnit"/>
        <w:numPr>
          <w:ilvl w:val="0"/>
          <w:numId w:val="24"/>
        </w:numPr>
        <w:rPr>
          <w:lang w:val="da-DK"/>
        </w:rPr>
      </w:pPr>
      <w:proofErr w:type="spellStart"/>
      <w:r>
        <w:rPr>
          <w:b/>
          <w:lang w:val="da-DK"/>
        </w:rPr>
        <w:t>D</w:t>
      </w:r>
      <w:r w:rsidR="000909C7">
        <w:rPr>
          <w:b/>
          <w:lang w:val="da-DK"/>
        </w:rPr>
        <w:t>acryocystitis</w:t>
      </w:r>
      <w:proofErr w:type="spellEnd"/>
      <w:r w:rsidR="000909C7">
        <w:rPr>
          <w:b/>
          <w:lang w:val="da-DK"/>
        </w:rPr>
        <w:t xml:space="preserve"> (betændelse af tåresækken)</w:t>
      </w:r>
      <w:r w:rsidR="005E045C">
        <w:rPr>
          <w:b/>
          <w:lang w:val="da-DK"/>
        </w:rPr>
        <w:t xml:space="preserve">: </w:t>
      </w:r>
      <w:r w:rsidR="00757980">
        <w:rPr>
          <w:bCs/>
          <w:lang w:val="da-DK"/>
        </w:rPr>
        <w:t>Hvor der ses</w:t>
      </w:r>
      <w:r w:rsidR="00B407C9">
        <w:rPr>
          <w:bCs/>
          <w:lang w:val="da-DK"/>
        </w:rPr>
        <w:t xml:space="preserve"> distinkt hævelse over tåresækken</w:t>
      </w:r>
      <w:r w:rsidR="00B40A03">
        <w:rPr>
          <w:bCs/>
          <w:lang w:val="da-DK"/>
        </w:rPr>
        <w:t xml:space="preserve"> (lige under </w:t>
      </w:r>
      <w:proofErr w:type="spellStart"/>
      <w:r w:rsidR="00B40A03">
        <w:rPr>
          <w:bCs/>
          <w:lang w:val="da-DK"/>
        </w:rPr>
        <w:t>mediale</w:t>
      </w:r>
      <w:proofErr w:type="spellEnd"/>
      <w:r w:rsidR="00B40A03">
        <w:rPr>
          <w:bCs/>
          <w:lang w:val="da-DK"/>
        </w:rPr>
        <w:t xml:space="preserve"> øjenkrog)</w:t>
      </w:r>
      <w:r w:rsidR="00B407C9">
        <w:rPr>
          <w:bCs/>
          <w:lang w:val="da-DK"/>
        </w:rPr>
        <w:t xml:space="preserve">, ofte </w:t>
      </w:r>
      <w:r w:rsidR="00997D24">
        <w:rPr>
          <w:bCs/>
          <w:lang w:val="da-DK"/>
        </w:rPr>
        <w:t xml:space="preserve">er der historik med tåreflåd og der </w:t>
      </w:r>
      <w:r w:rsidR="00B407C9">
        <w:rPr>
          <w:bCs/>
          <w:lang w:val="da-DK"/>
        </w:rPr>
        <w:t xml:space="preserve">kan der trykkes puds ud i øjet ved </w:t>
      </w:r>
      <w:proofErr w:type="spellStart"/>
      <w:r w:rsidR="00B407C9">
        <w:rPr>
          <w:bCs/>
          <w:lang w:val="da-DK"/>
        </w:rPr>
        <w:t>palpation</w:t>
      </w:r>
      <w:proofErr w:type="spellEnd"/>
      <w:r w:rsidR="00997D24">
        <w:rPr>
          <w:bCs/>
          <w:lang w:val="da-DK"/>
        </w:rPr>
        <w:t xml:space="preserve"> af den spændte tåresæk</w:t>
      </w:r>
      <w:r w:rsidR="00B407C9">
        <w:rPr>
          <w:bCs/>
          <w:lang w:val="da-DK"/>
        </w:rPr>
        <w:t xml:space="preserve">. </w:t>
      </w:r>
    </w:p>
    <w:p w14:paraId="0D98D73F" w14:textId="77777777" w:rsidR="00E8645D" w:rsidRPr="00CA3202" w:rsidRDefault="00E8645D" w:rsidP="00E8645D">
      <w:pPr>
        <w:pStyle w:val="Listeafsnit"/>
        <w:rPr>
          <w:lang w:val="da-DK"/>
        </w:rPr>
      </w:pPr>
    </w:p>
    <w:p w14:paraId="6E18FD1B" w14:textId="7E717C7E" w:rsidR="00181154" w:rsidRDefault="008F493F" w:rsidP="00FA3D7A">
      <w:pPr>
        <w:pStyle w:val="Overskrift2"/>
        <w:rPr>
          <w:lang w:val="da-DK"/>
        </w:rPr>
      </w:pPr>
      <w:bookmarkStart w:id="32" w:name="_Toc216974764"/>
      <w:bookmarkStart w:id="33" w:name="_Toc216975316"/>
      <w:bookmarkStart w:id="34" w:name="_Toc217021569"/>
      <w:bookmarkStart w:id="35" w:name="_Toc223506094"/>
      <w:bookmarkStart w:id="36" w:name="_Toc223506398"/>
      <w:bookmarkStart w:id="37" w:name="_Toc223506443"/>
      <w:bookmarkStart w:id="38" w:name="_Toc473054371"/>
      <w:r w:rsidRPr="00D91649">
        <w:rPr>
          <w:lang w:val="da-DK"/>
        </w:rPr>
        <w:t>Undersøgelse</w:t>
      </w:r>
      <w:bookmarkEnd w:id="32"/>
      <w:bookmarkEnd w:id="33"/>
      <w:bookmarkEnd w:id="34"/>
      <w:r w:rsidRPr="00D91649">
        <w:rPr>
          <w:lang w:val="da-DK"/>
        </w:rPr>
        <w:t>r</w:t>
      </w:r>
      <w:bookmarkEnd w:id="35"/>
      <w:bookmarkEnd w:id="36"/>
      <w:bookmarkEnd w:id="37"/>
      <w:bookmarkEnd w:id="38"/>
    </w:p>
    <w:p w14:paraId="68322615" w14:textId="34F4F881" w:rsidR="00F64BAD" w:rsidRPr="00ED77D3" w:rsidRDefault="00EA3E98" w:rsidP="00F64BAD">
      <w:pPr>
        <w:rPr>
          <w:b/>
          <w:bCs/>
          <w:color w:val="222222"/>
          <w:shd w:val="clear" w:color="auto" w:fill="FFFFFF"/>
          <w:lang w:val="da-DK"/>
        </w:rPr>
      </w:pPr>
      <w:r w:rsidRPr="00ED77D3">
        <w:rPr>
          <w:b/>
          <w:bCs/>
          <w:color w:val="222222"/>
          <w:shd w:val="clear" w:color="auto" w:fill="FFFFFF"/>
          <w:lang w:val="da-DK"/>
        </w:rPr>
        <w:t>Alle patienter:</w:t>
      </w:r>
    </w:p>
    <w:p w14:paraId="500E636B" w14:textId="77777777" w:rsidR="00F64BAD" w:rsidRDefault="00EA3E98" w:rsidP="00642E1D">
      <w:pPr>
        <w:pStyle w:val="Listeafsnit"/>
        <w:numPr>
          <w:ilvl w:val="0"/>
          <w:numId w:val="23"/>
        </w:numPr>
        <w:rPr>
          <w:color w:val="222222"/>
          <w:shd w:val="clear" w:color="auto" w:fill="FFFFFF"/>
          <w:lang w:val="da-DK"/>
        </w:rPr>
      </w:pPr>
      <w:r>
        <w:rPr>
          <w:color w:val="222222"/>
          <w:shd w:val="clear" w:color="auto" w:fill="FFFFFF"/>
          <w:lang w:val="da-DK"/>
        </w:rPr>
        <w:t>Foto</w:t>
      </w:r>
      <w:r w:rsidR="00F64BAD">
        <w:rPr>
          <w:color w:val="222222"/>
          <w:shd w:val="clear" w:color="auto" w:fill="FFFFFF"/>
          <w:lang w:val="da-DK"/>
        </w:rPr>
        <w:t xml:space="preserve"> til elektronisk patientjournal</w:t>
      </w:r>
    </w:p>
    <w:p w14:paraId="60F7E979" w14:textId="2938A9EA" w:rsidR="005A78CE" w:rsidRDefault="4BC899C3" w:rsidP="00642E1D">
      <w:pPr>
        <w:pStyle w:val="Listeafsnit"/>
        <w:numPr>
          <w:ilvl w:val="0"/>
          <w:numId w:val="23"/>
        </w:numPr>
        <w:rPr>
          <w:color w:val="222222"/>
          <w:shd w:val="clear" w:color="auto" w:fill="FFFFFF"/>
          <w:lang w:val="da-DK"/>
        </w:rPr>
      </w:pPr>
      <w:r w:rsidRPr="00642E1D">
        <w:rPr>
          <w:color w:val="222222"/>
          <w:shd w:val="clear" w:color="auto" w:fill="FFFFFF"/>
          <w:lang w:val="da-DK"/>
        </w:rPr>
        <w:t>Podning fra næse</w:t>
      </w:r>
      <w:r w:rsidR="005E0F64" w:rsidRPr="00642E1D">
        <w:rPr>
          <w:color w:val="222222"/>
          <w:shd w:val="clear" w:color="auto" w:fill="FFFFFF"/>
          <w:lang w:val="da-DK"/>
        </w:rPr>
        <w:t xml:space="preserve"> (sigt efter </w:t>
      </w:r>
      <w:proofErr w:type="spellStart"/>
      <w:r w:rsidR="005E0F64" w:rsidRPr="00642E1D">
        <w:rPr>
          <w:color w:val="222222"/>
          <w:shd w:val="clear" w:color="auto" w:fill="FFFFFF"/>
          <w:lang w:val="da-DK"/>
        </w:rPr>
        <w:t>meatus</w:t>
      </w:r>
      <w:proofErr w:type="spellEnd"/>
      <w:r w:rsidR="005E0F64" w:rsidRPr="00642E1D">
        <w:rPr>
          <w:color w:val="222222"/>
          <w:shd w:val="clear" w:color="auto" w:fill="FFFFFF"/>
          <w:lang w:val="da-DK"/>
        </w:rPr>
        <w:t xml:space="preserve"> </w:t>
      </w:r>
      <w:proofErr w:type="spellStart"/>
      <w:r w:rsidR="005E0F64" w:rsidRPr="00642E1D">
        <w:rPr>
          <w:color w:val="222222"/>
          <w:shd w:val="clear" w:color="auto" w:fill="FFFFFF"/>
          <w:lang w:val="da-DK"/>
        </w:rPr>
        <w:t>medius</w:t>
      </w:r>
      <w:proofErr w:type="spellEnd"/>
      <w:r w:rsidR="005E0F64" w:rsidRPr="00642E1D">
        <w:rPr>
          <w:color w:val="222222"/>
          <w:shd w:val="clear" w:color="auto" w:fill="FFFFFF"/>
          <w:lang w:val="da-DK"/>
        </w:rPr>
        <w:t>)</w:t>
      </w:r>
      <w:r w:rsidRPr="00642E1D">
        <w:rPr>
          <w:color w:val="222222"/>
          <w:shd w:val="clear" w:color="auto" w:fill="FFFFFF"/>
          <w:lang w:val="da-DK"/>
        </w:rPr>
        <w:t xml:space="preserve">, </w:t>
      </w:r>
      <w:proofErr w:type="spellStart"/>
      <w:r w:rsidR="674D7C42" w:rsidRPr="00642E1D">
        <w:rPr>
          <w:color w:val="222222"/>
          <w:shd w:val="clear" w:color="auto" w:fill="FFFFFF"/>
          <w:lang w:val="da-DK"/>
        </w:rPr>
        <w:t>k</w:t>
      </w:r>
      <w:r w:rsidRPr="00642E1D">
        <w:rPr>
          <w:color w:val="222222"/>
          <w:shd w:val="clear" w:color="auto" w:fill="FFFFFF"/>
          <w:lang w:val="da-DK"/>
        </w:rPr>
        <w:t>onjunctiva</w:t>
      </w:r>
      <w:proofErr w:type="spellEnd"/>
      <w:r w:rsidRPr="00642E1D">
        <w:rPr>
          <w:color w:val="222222"/>
          <w:shd w:val="clear" w:color="auto" w:fill="FFFFFF"/>
          <w:lang w:val="da-DK"/>
        </w:rPr>
        <w:t xml:space="preserve"> og evt. hud</w:t>
      </w:r>
      <w:r w:rsidR="00642E1D" w:rsidRPr="00642E1D">
        <w:rPr>
          <w:color w:val="222222"/>
          <w:shd w:val="clear" w:color="auto" w:fill="FFFFFF"/>
          <w:lang w:val="da-DK"/>
        </w:rPr>
        <w:t xml:space="preserve">. </w:t>
      </w:r>
      <w:r w:rsidR="000F5B58">
        <w:rPr>
          <w:color w:val="222222"/>
          <w:shd w:val="clear" w:color="auto" w:fill="FFFFFF"/>
          <w:lang w:val="da-DK"/>
        </w:rPr>
        <w:t>Podning har</w:t>
      </w:r>
      <w:r w:rsidR="00EA3E98">
        <w:rPr>
          <w:color w:val="222222"/>
          <w:shd w:val="clear" w:color="auto" w:fill="FFFFFF"/>
          <w:lang w:val="da-DK"/>
        </w:rPr>
        <w:t xml:space="preserve"> </w:t>
      </w:r>
      <w:r w:rsidR="00642E1D" w:rsidRPr="00642E1D">
        <w:rPr>
          <w:color w:val="222222"/>
          <w:shd w:val="clear" w:color="auto" w:fill="FFFFFF"/>
          <w:lang w:val="da-DK"/>
        </w:rPr>
        <w:t>ikke diagnostisk</w:t>
      </w:r>
      <w:r w:rsidR="000F5B58">
        <w:rPr>
          <w:color w:val="222222"/>
          <w:shd w:val="clear" w:color="auto" w:fill="FFFFFF"/>
          <w:lang w:val="da-DK"/>
        </w:rPr>
        <w:t xml:space="preserve"> værdi</w:t>
      </w:r>
      <w:r w:rsidR="00642E1D" w:rsidRPr="00642E1D">
        <w:rPr>
          <w:color w:val="222222"/>
          <w:shd w:val="clear" w:color="auto" w:fill="FFFFFF"/>
          <w:lang w:val="da-DK"/>
        </w:rPr>
        <w:t>, men kan</w:t>
      </w:r>
      <w:r w:rsidR="00EA3E98">
        <w:rPr>
          <w:color w:val="222222"/>
          <w:shd w:val="clear" w:color="auto" w:fill="FFFFFF"/>
          <w:lang w:val="da-DK"/>
        </w:rPr>
        <w:t xml:space="preserve"> </w:t>
      </w:r>
      <w:r w:rsidR="00642E1D" w:rsidRPr="00642E1D">
        <w:rPr>
          <w:color w:val="222222"/>
          <w:shd w:val="clear" w:color="auto" w:fill="FFFFFF"/>
          <w:lang w:val="da-DK"/>
        </w:rPr>
        <w:t>benyttes til</w:t>
      </w:r>
      <w:r w:rsidR="00642E1D">
        <w:rPr>
          <w:color w:val="222222"/>
          <w:shd w:val="clear" w:color="auto" w:fill="FFFFFF"/>
          <w:lang w:val="da-DK"/>
        </w:rPr>
        <w:t xml:space="preserve"> </w:t>
      </w:r>
      <w:r w:rsidR="000F5B58">
        <w:rPr>
          <w:color w:val="222222"/>
          <w:shd w:val="clear" w:color="auto" w:fill="FFFFFF"/>
          <w:lang w:val="da-DK"/>
        </w:rPr>
        <w:t xml:space="preserve">senere </w:t>
      </w:r>
      <w:r w:rsidR="00642E1D" w:rsidRPr="00642E1D">
        <w:rPr>
          <w:color w:val="222222"/>
          <w:shd w:val="clear" w:color="auto" w:fill="FFFFFF"/>
          <w:lang w:val="da-DK"/>
        </w:rPr>
        <w:t>just</w:t>
      </w:r>
      <w:r w:rsidR="00EA3E98">
        <w:rPr>
          <w:color w:val="222222"/>
          <w:shd w:val="clear" w:color="auto" w:fill="FFFFFF"/>
          <w:lang w:val="da-DK"/>
        </w:rPr>
        <w:t>ering af</w:t>
      </w:r>
      <w:r w:rsidR="00642E1D" w:rsidRPr="00642E1D">
        <w:rPr>
          <w:color w:val="222222"/>
          <w:shd w:val="clear" w:color="auto" w:fill="FFFFFF"/>
          <w:lang w:val="da-DK"/>
        </w:rPr>
        <w:t xml:space="preserve"> behandlingen</w:t>
      </w:r>
      <w:r w:rsidR="002F5F91">
        <w:rPr>
          <w:color w:val="222222"/>
          <w:shd w:val="clear" w:color="auto" w:fill="FFFFFF"/>
          <w:lang w:val="da-DK"/>
        </w:rPr>
        <w:t>.</w:t>
      </w:r>
    </w:p>
    <w:p w14:paraId="257560E3" w14:textId="77777777" w:rsidR="00F64BAD" w:rsidRDefault="00F64BAD" w:rsidP="00F64BAD">
      <w:pPr>
        <w:rPr>
          <w:color w:val="222222"/>
          <w:shd w:val="clear" w:color="auto" w:fill="FFFFFF"/>
          <w:lang w:val="da-DK"/>
        </w:rPr>
      </w:pPr>
    </w:p>
    <w:p w14:paraId="314A8488" w14:textId="77777777" w:rsidR="00F64BAD" w:rsidRPr="000C7713" w:rsidRDefault="00F64BAD" w:rsidP="00F64BAD">
      <w:pPr>
        <w:rPr>
          <w:lang w:val="da-DK"/>
        </w:rPr>
      </w:pPr>
      <w:r w:rsidRPr="000C7713">
        <w:rPr>
          <w:lang w:val="da-DK"/>
        </w:rPr>
        <w:t xml:space="preserve">Forløb og klinik foreneligt med </w:t>
      </w:r>
      <w:proofErr w:type="spellStart"/>
      <w:r w:rsidRPr="000C7713">
        <w:rPr>
          <w:b/>
          <w:bCs/>
          <w:lang w:val="da-DK"/>
        </w:rPr>
        <w:t>præseptal</w:t>
      </w:r>
      <w:proofErr w:type="spellEnd"/>
      <w:r w:rsidRPr="000C7713">
        <w:rPr>
          <w:b/>
          <w:bCs/>
          <w:lang w:val="da-DK"/>
        </w:rPr>
        <w:t xml:space="preserve"> cellulitis:</w:t>
      </w:r>
      <w:r w:rsidRPr="000C7713">
        <w:rPr>
          <w:lang w:val="da-DK"/>
        </w:rPr>
        <w:t xml:space="preserve"> </w:t>
      </w:r>
    </w:p>
    <w:p w14:paraId="7B911E10" w14:textId="12CB2A01" w:rsidR="00F64BAD" w:rsidRPr="00D05CFE" w:rsidRDefault="00F64BAD" w:rsidP="000C7713">
      <w:pPr>
        <w:pStyle w:val="Listeafsnit"/>
        <w:numPr>
          <w:ilvl w:val="0"/>
          <w:numId w:val="30"/>
        </w:numPr>
        <w:rPr>
          <w:shd w:val="clear" w:color="auto" w:fill="FFFFFF"/>
          <w:lang w:val="da-DK"/>
        </w:rPr>
      </w:pPr>
      <w:r w:rsidRPr="000C7713">
        <w:rPr>
          <w:lang w:val="da-DK"/>
        </w:rPr>
        <w:t>Ingen yderligere undersøgelser, opstart antibiotika og udskriv med varsling.</w:t>
      </w:r>
    </w:p>
    <w:p w14:paraId="258A2954" w14:textId="77777777" w:rsidR="00510E23" w:rsidRDefault="00510E23" w:rsidP="00510E23">
      <w:pPr>
        <w:rPr>
          <w:shd w:val="clear" w:color="auto" w:fill="FFFFFF"/>
          <w:lang w:val="da-DK"/>
        </w:rPr>
      </w:pPr>
    </w:p>
    <w:p w14:paraId="4BCBE8CB" w14:textId="77777777" w:rsidR="00510E23" w:rsidRPr="00ED77D3" w:rsidRDefault="00510E23" w:rsidP="00510E23">
      <w:pPr>
        <w:rPr>
          <w:lang w:val="da-DK"/>
        </w:rPr>
      </w:pPr>
      <w:r w:rsidRPr="00ED77D3">
        <w:rPr>
          <w:lang w:val="da-DK"/>
        </w:rPr>
        <w:t xml:space="preserve">Forløb og klinik med begrundet mistanke om </w:t>
      </w:r>
      <w:proofErr w:type="spellStart"/>
      <w:r w:rsidRPr="00ED77D3">
        <w:rPr>
          <w:b/>
          <w:bCs/>
          <w:lang w:val="da-DK"/>
        </w:rPr>
        <w:t>postseptal</w:t>
      </w:r>
      <w:proofErr w:type="spellEnd"/>
      <w:r w:rsidRPr="00ED77D3">
        <w:rPr>
          <w:b/>
          <w:bCs/>
          <w:lang w:val="da-DK"/>
        </w:rPr>
        <w:t xml:space="preserve"> cellulitis:</w:t>
      </w:r>
      <w:r w:rsidRPr="00ED77D3">
        <w:rPr>
          <w:lang w:val="da-DK"/>
        </w:rPr>
        <w:t xml:space="preserve"> </w:t>
      </w:r>
    </w:p>
    <w:p w14:paraId="04BBC7BE" w14:textId="2719AE84" w:rsidR="00D05CFE" w:rsidRPr="00ED77D3" w:rsidRDefault="00D05CFE" w:rsidP="00D05CFE">
      <w:pPr>
        <w:pStyle w:val="Listeafsnit"/>
        <w:numPr>
          <w:ilvl w:val="0"/>
          <w:numId w:val="30"/>
        </w:numPr>
        <w:rPr>
          <w:lang w:val="da-DK"/>
        </w:rPr>
      </w:pPr>
      <w:r w:rsidRPr="00ED77D3">
        <w:rPr>
          <w:lang w:val="da-DK"/>
        </w:rPr>
        <w:t xml:space="preserve">Infektionstal og bloddyrkning. </w:t>
      </w:r>
    </w:p>
    <w:p w14:paraId="42DE0B7A" w14:textId="53DD1322" w:rsidR="00D05CFE" w:rsidRPr="00270BAD" w:rsidRDefault="00CA584B" w:rsidP="006B2D76">
      <w:pPr>
        <w:pStyle w:val="Listeafsnit"/>
        <w:rPr>
          <w:rStyle w:val="Fremhv"/>
          <w:lang w:val="da-DK"/>
        </w:rPr>
      </w:pPr>
      <w:r w:rsidRPr="006B2D76">
        <w:rPr>
          <w:bCs/>
          <w:lang w:val="da-DK"/>
        </w:rPr>
        <w:t>CT-scanning</w:t>
      </w:r>
      <w:r w:rsidR="003F2ABB" w:rsidRPr="006B2D76">
        <w:rPr>
          <w:bCs/>
          <w:lang w:val="da-DK"/>
        </w:rPr>
        <w:t xml:space="preserve"> </w:t>
      </w:r>
      <w:r w:rsidR="003F2ABB" w:rsidRPr="006B2D76">
        <w:rPr>
          <w:lang w:val="da-DK"/>
        </w:rPr>
        <w:t xml:space="preserve">af </w:t>
      </w:r>
      <w:proofErr w:type="spellStart"/>
      <w:r w:rsidR="003F2ABB" w:rsidRPr="006B2D76">
        <w:rPr>
          <w:lang w:val="da-DK"/>
        </w:rPr>
        <w:t>orbita</w:t>
      </w:r>
      <w:proofErr w:type="spellEnd"/>
      <w:r w:rsidR="003F2ABB" w:rsidRPr="006B2D76">
        <w:rPr>
          <w:lang w:val="da-DK"/>
        </w:rPr>
        <w:t xml:space="preserve"> og </w:t>
      </w:r>
      <w:r w:rsidR="00FC20BB" w:rsidRPr="006B2D76">
        <w:rPr>
          <w:lang w:val="da-DK"/>
        </w:rPr>
        <w:t>bihuler</w:t>
      </w:r>
      <w:r w:rsidR="000C7713" w:rsidRPr="006B2D76">
        <w:rPr>
          <w:lang w:val="da-DK"/>
        </w:rPr>
        <w:t xml:space="preserve">. </w:t>
      </w:r>
      <w:r w:rsidR="006E539B" w:rsidRPr="006B2D76">
        <w:rPr>
          <w:lang w:val="da-DK"/>
        </w:rPr>
        <w:t>U</w:t>
      </w:r>
      <w:r w:rsidR="003F2ABB" w:rsidRPr="006B2D76">
        <w:rPr>
          <w:lang w:val="da-DK"/>
        </w:rPr>
        <w:t xml:space="preserve">dføres på de patienter, hvor </w:t>
      </w:r>
      <w:r w:rsidR="00FC20BB" w:rsidRPr="006B2D76">
        <w:rPr>
          <w:lang w:val="da-DK"/>
        </w:rPr>
        <w:t xml:space="preserve">forløb og objektiv undersøgelse rejser begrundet mistanke om </w:t>
      </w:r>
      <w:proofErr w:type="spellStart"/>
      <w:r w:rsidR="003F2ABB" w:rsidRPr="006B2D76">
        <w:rPr>
          <w:lang w:val="da-DK"/>
        </w:rPr>
        <w:t>postseptal</w:t>
      </w:r>
      <w:proofErr w:type="spellEnd"/>
      <w:r w:rsidR="003F2ABB" w:rsidRPr="006B2D76">
        <w:rPr>
          <w:lang w:val="da-DK"/>
        </w:rPr>
        <w:t xml:space="preserve"> cellulitis</w:t>
      </w:r>
      <w:r w:rsidR="00642E1D" w:rsidRPr="006B2D76">
        <w:rPr>
          <w:lang w:val="da-DK"/>
        </w:rPr>
        <w:t>.</w:t>
      </w:r>
      <w:r w:rsidR="003F2ABB" w:rsidRPr="006B2D76">
        <w:rPr>
          <w:lang w:val="da-DK"/>
        </w:rPr>
        <w:t xml:space="preserve"> </w:t>
      </w:r>
      <w:r w:rsidR="00FC20BB" w:rsidRPr="006B2D76">
        <w:rPr>
          <w:shd w:val="clear" w:color="auto" w:fill="FFFFFF"/>
          <w:lang w:val="da-DK"/>
        </w:rPr>
        <w:t>Bestilles som</w:t>
      </w:r>
      <w:r w:rsidR="003F2ABB" w:rsidRPr="006B2D76">
        <w:rPr>
          <w:shd w:val="clear" w:color="auto" w:fill="FFFFFF"/>
          <w:lang w:val="da-DK"/>
        </w:rPr>
        <w:t> </w:t>
      </w:r>
      <w:r w:rsidR="003F2ABB" w:rsidRPr="006B2D76">
        <w:rPr>
          <w:i/>
          <w:iCs/>
          <w:lang w:val="da-DK"/>
        </w:rPr>
        <w:t>CT</w:t>
      </w:r>
      <w:r w:rsidR="00ED77D3">
        <w:rPr>
          <w:i/>
          <w:iCs/>
          <w:lang w:val="da-DK"/>
        </w:rPr>
        <w:t>-</w:t>
      </w:r>
      <w:r w:rsidR="003F2ABB" w:rsidRPr="006B2D76">
        <w:rPr>
          <w:i/>
          <w:iCs/>
          <w:lang w:val="da-DK"/>
        </w:rPr>
        <w:t xml:space="preserve">bihuler </w:t>
      </w:r>
      <w:r w:rsidR="003F2ABB" w:rsidRPr="006B2D76">
        <w:rPr>
          <w:i/>
          <w:iCs/>
          <w:u w:val="single"/>
          <w:lang w:val="da-DK"/>
        </w:rPr>
        <w:t>med kontrast</w:t>
      </w:r>
      <w:r w:rsidR="003F2ABB" w:rsidRPr="006B2D76">
        <w:rPr>
          <w:i/>
          <w:iCs/>
          <w:lang w:val="da-DK"/>
        </w:rPr>
        <w:t xml:space="preserve"> mhp. </w:t>
      </w:r>
      <w:r w:rsidR="00307CBB">
        <w:rPr>
          <w:i/>
          <w:iCs/>
          <w:lang w:val="da-DK"/>
        </w:rPr>
        <w:t>n</w:t>
      </w:r>
      <w:r w:rsidR="003F2ABB" w:rsidRPr="006B2D76">
        <w:rPr>
          <w:i/>
          <w:iCs/>
          <w:lang w:val="da-DK"/>
        </w:rPr>
        <w:t>avigation</w:t>
      </w:r>
      <w:r w:rsidR="000C7713" w:rsidRPr="006B2D76">
        <w:rPr>
          <w:i/>
          <w:iCs/>
          <w:lang w:val="da-DK"/>
        </w:rPr>
        <w:t>”</w:t>
      </w:r>
      <w:r w:rsidR="006E539B" w:rsidRPr="006B2D76">
        <w:rPr>
          <w:i/>
          <w:iCs/>
          <w:lang w:val="da-DK"/>
        </w:rPr>
        <w:t>,</w:t>
      </w:r>
      <w:r w:rsidR="00EB610B" w:rsidRPr="006B2D76">
        <w:rPr>
          <w:i/>
          <w:iCs/>
          <w:lang w:val="da-DK"/>
        </w:rPr>
        <w:t xml:space="preserve"> </w:t>
      </w:r>
      <w:r w:rsidR="00EB610B" w:rsidRPr="006B2D76">
        <w:rPr>
          <w:lang w:val="da-DK"/>
        </w:rPr>
        <w:t xml:space="preserve">så mulig </w:t>
      </w:r>
      <w:r w:rsidR="003F2ABB" w:rsidRPr="006B2D76">
        <w:rPr>
          <w:rStyle w:val="Fremhv"/>
          <w:i w:val="0"/>
          <w:iCs w:val="0"/>
          <w:shd w:val="clear" w:color="auto" w:fill="FFFFFF"/>
          <w:lang w:val="da-DK"/>
        </w:rPr>
        <w:t>ØNH</w:t>
      </w:r>
      <w:r w:rsidR="00ED77D3">
        <w:rPr>
          <w:rStyle w:val="Fremhv"/>
          <w:i w:val="0"/>
          <w:iCs w:val="0"/>
          <w:shd w:val="clear" w:color="auto" w:fill="FFFFFF"/>
          <w:lang w:val="da-DK"/>
        </w:rPr>
        <w:t>-</w:t>
      </w:r>
      <w:r w:rsidR="00EB610B" w:rsidRPr="006B2D76">
        <w:rPr>
          <w:rStyle w:val="Fremhv"/>
          <w:i w:val="0"/>
          <w:iCs w:val="0"/>
          <w:shd w:val="clear" w:color="auto" w:fill="FFFFFF"/>
          <w:lang w:val="da-DK"/>
        </w:rPr>
        <w:t>operation</w:t>
      </w:r>
      <w:r w:rsidR="003F2ABB" w:rsidRPr="006B2D76">
        <w:rPr>
          <w:rStyle w:val="Fremhv"/>
          <w:i w:val="0"/>
          <w:iCs w:val="0"/>
          <w:shd w:val="clear" w:color="auto" w:fill="FFFFFF"/>
          <w:lang w:val="da-DK"/>
        </w:rPr>
        <w:t xml:space="preserve"> kan </w:t>
      </w:r>
      <w:r w:rsidR="00EB610B" w:rsidRPr="006B2D76">
        <w:rPr>
          <w:rStyle w:val="Fremhv"/>
          <w:i w:val="0"/>
          <w:iCs w:val="0"/>
          <w:shd w:val="clear" w:color="auto" w:fill="FFFFFF"/>
          <w:lang w:val="da-DK"/>
        </w:rPr>
        <w:t>foretages</w:t>
      </w:r>
      <w:r w:rsidR="00510E23" w:rsidRPr="006B2D76">
        <w:rPr>
          <w:rStyle w:val="Fremhv"/>
          <w:i w:val="0"/>
          <w:iCs w:val="0"/>
          <w:shd w:val="clear" w:color="auto" w:fill="FFFFFF"/>
          <w:lang w:val="da-DK"/>
        </w:rPr>
        <w:t xml:space="preserve"> uden </w:t>
      </w:r>
      <w:r w:rsidR="00315897" w:rsidRPr="006B2D76">
        <w:rPr>
          <w:rStyle w:val="Fremhv"/>
          <w:i w:val="0"/>
          <w:iCs w:val="0"/>
          <w:shd w:val="clear" w:color="auto" w:fill="FFFFFF"/>
          <w:lang w:val="da-DK"/>
        </w:rPr>
        <w:t>re-</w:t>
      </w:r>
      <w:r w:rsidR="00510E23" w:rsidRPr="006B2D76">
        <w:rPr>
          <w:rStyle w:val="Fremhv"/>
          <w:i w:val="0"/>
          <w:iCs w:val="0"/>
          <w:shd w:val="clear" w:color="auto" w:fill="FFFFFF"/>
          <w:lang w:val="da-DK"/>
        </w:rPr>
        <w:t>scanning.</w:t>
      </w:r>
      <w:r w:rsidR="003F2ABB" w:rsidRPr="006B2D76">
        <w:rPr>
          <w:rStyle w:val="Fremhv"/>
          <w:i w:val="0"/>
          <w:iCs w:val="0"/>
          <w:shd w:val="clear" w:color="auto" w:fill="FFFFFF"/>
          <w:lang w:val="da-DK"/>
        </w:rPr>
        <w:t xml:space="preserve"> </w:t>
      </w:r>
      <w:r w:rsidRPr="006B2D76">
        <w:rPr>
          <w:rStyle w:val="Fremhv"/>
          <w:i w:val="0"/>
          <w:iCs w:val="0"/>
          <w:shd w:val="clear" w:color="auto" w:fill="FFFFFF"/>
          <w:lang w:val="da-DK"/>
        </w:rPr>
        <w:t>I SP hedder den ”Radiologi CT-bihuler, aksial”.</w:t>
      </w:r>
      <w:r w:rsidR="00FA23D0">
        <w:rPr>
          <w:rStyle w:val="Fremhv"/>
          <w:i w:val="0"/>
          <w:iCs w:val="0"/>
          <w:shd w:val="clear" w:color="auto" w:fill="FFFFFF"/>
          <w:lang w:val="da-DK"/>
        </w:rPr>
        <w:t xml:space="preserve"> I </w:t>
      </w:r>
      <w:r w:rsidR="00A629E0">
        <w:rPr>
          <w:rStyle w:val="Fremhv"/>
          <w:i w:val="0"/>
          <w:iCs w:val="0"/>
          <w:shd w:val="clear" w:color="auto" w:fill="FFFFFF"/>
          <w:lang w:val="da-DK"/>
        </w:rPr>
        <w:t>Region midt</w:t>
      </w:r>
      <w:r w:rsidR="00FA23D0">
        <w:rPr>
          <w:rStyle w:val="Fremhv"/>
          <w:i w:val="0"/>
          <w:iCs w:val="0"/>
          <w:shd w:val="clear" w:color="auto" w:fill="FFFFFF"/>
          <w:lang w:val="da-DK"/>
        </w:rPr>
        <w:t xml:space="preserve"> bestilles ”</w:t>
      </w:r>
      <w:r w:rsidR="00FA23D0" w:rsidRPr="00A629E0">
        <w:rPr>
          <w:shd w:val="clear" w:color="auto" w:fill="FFFFFF"/>
          <w:lang w:val="da-DK"/>
        </w:rPr>
        <w:t>CT</w:t>
      </w:r>
      <w:r w:rsidR="00A629E0">
        <w:rPr>
          <w:shd w:val="clear" w:color="auto" w:fill="FFFFFF"/>
          <w:lang w:val="da-DK"/>
        </w:rPr>
        <w:t>-</w:t>
      </w:r>
      <w:r w:rsidR="00FA23D0" w:rsidRPr="00A629E0">
        <w:rPr>
          <w:shd w:val="clear" w:color="auto" w:fill="FFFFFF"/>
          <w:lang w:val="da-DK"/>
        </w:rPr>
        <w:t xml:space="preserve">bihuler med </w:t>
      </w:r>
      <w:r w:rsidR="00BC30A2" w:rsidRPr="00A629E0">
        <w:rPr>
          <w:shd w:val="clear" w:color="auto" w:fill="FFFFFF"/>
          <w:lang w:val="da-DK"/>
        </w:rPr>
        <w:t>k</w:t>
      </w:r>
      <w:r w:rsidR="00FA23D0" w:rsidRPr="00A629E0">
        <w:rPr>
          <w:shd w:val="clear" w:color="auto" w:fill="FFFFFF"/>
          <w:lang w:val="da-DK"/>
        </w:rPr>
        <w:t>ontrast”</w:t>
      </w:r>
      <w:r w:rsidR="00270BAD" w:rsidRPr="00A629E0">
        <w:rPr>
          <w:shd w:val="clear" w:color="auto" w:fill="FFFFFF"/>
          <w:lang w:val="da-DK"/>
        </w:rPr>
        <w:t xml:space="preserve">, mens der på OUH bestilles en </w:t>
      </w:r>
      <w:r w:rsidR="005E6E50">
        <w:rPr>
          <w:shd w:val="clear" w:color="auto" w:fill="FFFFFF"/>
          <w:lang w:val="da-DK"/>
        </w:rPr>
        <w:t>”</w:t>
      </w:r>
      <w:r w:rsidR="00270BAD" w:rsidRPr="00A629E0">
        <w:rPr>
          <w:shd w:val="clear" w:color="auto" w:fill="FFFFFF"/>
          <w:lang w:val="da-DK"/>
        </w:rPr>
        <w:t xml:space="preserve">CT </w:t>
      </w:r>
      <w:proofErr w:type="spellStart"/>
      <w:r w:rsidR="005E6E50">
        <w:rPr>
          <w:shd w:val="clear" w:color="auto" w:fill="FFFFFF"/>
          <w:lang w:val="da-DK"/>
        </w:rPr>
        <w:t>o</w:t>
      </w:r>
      <w:r w:rsidR="00270BAD">
        <w:rPr>
          <w:shd w:val="clear" w:color="auto" w:fill="FFFFFF"/>
          <w:lang w:val="da-DK"/>
        </w:rPr>
        <w:t>rbita</w:t>
      </w:r>
      <w:proofErr w:type="spellEnd"/>
      <w:r w:rsidR="005E6E50">
        <w:rPr>
          <w:shd w:val="clear" w:color="auto" w:fill="FFFFFF"/>
          <w:lang w:val="da-DK"/>
        </w:rPr>
        <w:t>”</w:t>
      </w:r>
      <w:r w:rsidR="00270BAD">
        <w:rPr>
          <w:shd w:val="clear" w:color="auto" w:fill="FFFFFF"/>
          <w:lang w:val="da-DK"/>
        </w:rPr>
        <w:t xml:space="preserve"> evt. med en lokal tilføjelse</w:t>
      </w:r>
    </w:p>
    <w:p w14:paraId="676B5EE7" w14:textId="77777777" w:rsidR="00C60C1D" w:rsidRPr="00F820FE" w:rsidRDefault="006B5D5E" w:rsidP="00C60C1D">
      <w:pPr>
        <w:pStyle w:val="Listeafsnit"/>
        <w:numPr>
          <w:ilvl w:val="0"/>
          <w:numId w:val="23"/>
        </w:numPr>
        <w:rPr>
          <w:rStyle w:val="Fremhv"/>
          <w:lang w:val="da-DK"/>
        </w:rPr>
      </w:pPr>
      <w:r>
        <w:rPr>
          <w:rStyle w:val="Fremhv"/>
          <w:i w:val="0"/>
          <w:iCs w:val="0"/>
          <w:shd w:val="clear" w:color="auto" w:fill="FFFFFF"/>
          <w:lang w:val="da-DK"/>
        </w:rPr>
        <w:t xml:space="preserve">Ved </w:t>
      </w:r>
      <w:r w:rsidR="00315897">
        <w:rPr>
          <w:rStyle w:val="Fremhv"/>
          <w:i w:val="0"/>
          <w:iCs w:val="0"/>
          <w:shd w:val="clear" w:color="auto" w:fill="FFFFFF"/>
          <w:lang w:val="da-DK"/>
        </w:rPr>
        <w:t xml:space="preserve">klinisk </w:t>
      </w:r>
      <w:r>
        <w:rPr>
          <w:rStyle w:val="Fremhv"/>
          <w:i w:val="0"/>
          <w:iCs w:val="0"/>
          <w:shd w:val="clear" w:color="auto" w:fill="FFFFFF"/>
          <w:lang w:val="da-DK"/>
        </w:rPr>
        <w:t xml:space="preserve">lille </w:t>
      </w:r>
      <w:r w:rsidR="001E0C78" w:rsidRPr="001E0C78">
        <w:rPr>
          <w:rStyle w:val="Fremhv"/>
          <w:i w:val="0"/>
          <w:iCs w:val="0"/>
          <w:shd w:val="clear" w:color="auto" w:fill="FFFFFF"/>
          <w:lang w:val="da-DK"/>
        </w:rPr>
        <w:t xml:space="preserve">mistanke </w:t>
      </w:r>
      <w:r w:rsidR="00772975">
        <w:rPr>
          <w:rStyle w:val="Fremhv"/>
          <w:i w:val="0"/>
          <w:iCs w:val="0"/>
          <w:shd w:val="clear" w:color="auto" w:fill="FFFFFF"/>
          <w:lang w:val="da-DK"/>
        </w:rPr>
        <w:t>kan kont</w:t>
      </w:r>
      <w:r w:rsidR="006B2D76">
        <w:rPr>
          <w:rStyle w:val="Fremhv"/>
          <w:i w:val="0"/>
          <w:iCs w:val="0"/>
          <w:shd w:val="clear" w:color="auto" w:fill="FFFFFF"/>
          <w:lang w:val="da-DK"/>
        </w:rPr>
        <w:t>r</w:t>
      </w:r>
      <w:r w:rsidR="00772975">
        <w:rPr>
          <w:rStyle w:val="Fremhv"/>
          <w:i w:val="0"/>
          <w:iCs w:val="0"/>
          <w:shd w:val="clear" w:color="auto" w:fill="FFFFFF"/>
          <w:lang w:val="da-DK"/>
        </w:rPr>
        <w:t>ast evt. udelades (</w:t>
      </w:r>
      <w:proofErr w:type="spellStart"/>
      <w:r w:rsidR="006B2D76">
        <w:rPr>
          <w:rStyle w:val="Fremhv"/>
          <w:i w:val="0"/>
          <w:iCs w:val="0"/>
          <w:shd w:val="clear" w:color="auto" w:fill="FFFFFF"/>
          <w:lang w:val="da-DK"/>
        </w:rPr>
        <w:t>k</w:t>
      </w:r>
      <w:r w:rsidR="00772975">
        <w:rPr>
          <w:rStyle w:val="Fremhv"/>
          <w:i w:val="0"/>
          <w:iCs w:val="0"/>
          <w:shd w:val="clear" w:color="auto" w:fill="FFFFFF"/>
          <w:lang w:val="da-DK"/>
        </w:rPr>
        <w:t>onf</w:t>
      </w:r>
      <w:proofErr w:type="spellEnd"/>
      <w:r>
        <w:rPr>
          <w:rStyle w:val="Fremhv"/>
          <w:i w:val="0"/>
          <w:iCs w:val="0"/>
          <w:shd w:val="clear" w:color="auto" w:fill="FFFFFF"/>
          <w:lang w:val="da-DK"/>
        </w:rPr>
        <w:t>.</w:t>
      </w:r>
      <w:r w:rsidR="00772975">
        <w:rPr>
          <w:rStyle w:val="Fremhv"/>
          <w:i w:val="0"/>
          <w:iCs w:val="0"/>
          <w:shd w:val="clear" w:color="auto" w:fill="FFFFFF"/>
          <w:lang w:val="da-DK"/>
        </w:rPr>
        <w:t xml:space="preserve"> BV </w:t>
      </w:r>
      <w:r>
        <w:rPr>
          <w:rStyle w:val="Fremhv"/>
          <w:i w:val="0"/>
          <w:iCs w:val="0"/>
          <w:shd w:val="clear" w:color="auto" w:fill="FFFFFF"/>
          <w:lang w:val="da-DK"/>
        </w:rPr>
        <w:t xml:space="preserve">eller </w:t>
      </w:r>
      <w:r w:rsidR="006B2D76">
        <w:rPr>
          <w:rStyle w:val="Fremhv"/>
          <w:i w:val="0"/>
          <w:iCs w:val="0"/>
          <w:shd w:val="clear" w:color="auto" w:fill="FFFFFF"/>
          <w:lang w:val="da-DK"/>
        </w:rPr>
        <w:t>ØNH).</w:t>
      </w:r>
    </w:p>
    <w:p w14:paraId="335A5059" w14:textId="77777777" w:rsidR="00F820FE" w:rsidRPr="00555361" w:rsidRDefault="00C60C1D" w:rsidP="00F820FE">
      <w:pPr>
        <w:pStyle w:val="Listeafsnit"/>
        <w:numPr>
          <w:ilvl w:val="0"/>
          <w:numId w:val="23"/>
        </w:numPr>
        <w:rPr>
          <w:lang w:val="da-DK"/>
        </w:rPr>
      </w:pPr>
      <w:proofErr w:type="spellStart"/>
      <w:r w:rsidRPr="00F820FE">
        <w:rPr>
          <w:lang w:val="da-DK"/>
        </w:rPr>
        <w:lastRenderedPageBreak/>
        <w:t>Orbita</w:t>
      </w:r>
      <w:proofErr w:type="spellEnd"/>
      <w:r w:rsidRPr="00F820FE">
        <w:rPr>
          <w:lang w:val="da-DK"/>
        </w:rPr>
        <w:t xml:space="preserve"> fremstilles også ved CT-bihuler, men ved stor klinisk mistanke om </w:t>
      </w:r>
      <w:proofErr w:type="spellStart"/>
      <w:r w:rsidRPr="00F820FE">
        <w:rPr>
          <w:lang w:val="da-DK"/>
        </w:rPr>
        <w:t>postseptal</w:t>
      </w:r>
      <w:proofErr w:type="spellEnd"/>
      <w:r w:rsidRPr="00F820FE">
        <w:rPr>
          <w:lang w:val="da-DK"/>
        </w:rPr>
        <w:t xml:space="preserve"> cellulitis</w:t>
      </w:r>
      <w:r w:rsidR="00A062CC" w:rsidRPr="00F820FE">
        <w:rPr>
          <w:lang w:val="da-DK"/>
        </w:rPr>
        <w:t xml:space="preserve">, </w:t>
      </w:r>
      <w:r w:rsidRPr="00F820FE">
        <w:rPr>
          <w:lang w:val="da-DK"/>
        </w:rPr>
        <w:t xml:space="preserve">især ved </w:t>
      </w:r>
      <w:proofErr w:type="spellStart"/>
      <w:r w:rsidRPr="00F820FE">
        <w:rPr>
          <w:lang w:val="da-DK"/>
        </w:rPr>
        <w:t>proptose</w:t>
      </w:r>
      <w:proofErr w:type="spellEnd"/>
      <w:r w:rsidR="00A062CC" w:rsidRPr="00F820FE">
        <w:rPr>
          <w:lang w:val="da-DK"/>
        </w:rPr>
        <w:t>,</w:t>
      </w:r>
      <w:r w:rsidRPr="00F820FE">
        <w:rPr>
          <w:lang w:val="da-DK"/>
        </w:rPr>
        <w:t xml:space="preserve"> eller påvirket syn suppleres med specifik CT</w:t>
      </w:r>
      <w:r w:rsidR="00A062CC" w:rsidRPr="00F820FE">
        <w:rPr>
          <w:lang w:val="da-DK"/>
        </w:rPr>
        <w:t>-</w:t>
      </w:r>
      <w:proofErr w:type="spellStart"/>
      <w:r w:rsidRPr="00F820FE">
        <w:rPr>
          <w:lang w:val="da-DK"/>
        </w:rPr>
        <w:t>orbita</w:t>
      </w:r>
      <w:proofErr w:type="spellEnd"/>
      <w:r w:rsidRPr="00F820FE">
        <w:rPr>
          <w:lang w:val="da-DK"/>
        </w:rPr>
        <w:t xml:space="preserve"> (</w:t>
      </w:r>
      <w:proofErr w:type="spellStart"/>
      <w:r w:rsidRPr="00F820FE">
        <w:rPr>
          <w:lang w:val="da-DK"/>
        </w:rPr>
        <w:t>konf</w:t>
      </w:r>
      <w:proofErr w:type="spellEnd"/>
      <w:r w:rsidRPr="00F820FE">
        <w:rPr>
          <w:lang w:val="da-DK"/>
        </w:rPr>
        <w:t xml:space="preserve">. BV eller øjenlæge). </w:t>
      </w:r>
    </w:p>
    <w:p w14:paraId="6523623D" w14:textId="4B562C60" w:rsidR="00C60C1D" w:rsidRPr="004E08C9" w:rsidRDefault="00F820FE" w:rsidP="004E08C9">
      <w:pPr>
        <w:pStyle w:val="Listeafsnit"/>
        <w:numPr>
          <w:ilvl w:val="0"/>
          <w:numId w:val="23"/>
        </w:numPr>
        <w:rPr>
          <w:rStyle w:val="Fremhv"/>
          <w:lang w:val="da-DK"/>
        </w:rPr>
      </w:pPr>
      <w:r w:rsidRPr="00555361">
        <w:rPr>
          <w:lang w:val="da-DK"/>
        </w:rPr>
        <w:t>C</w:t>
      </w:r>
      <w:r w:rsidRPr="00F820FE">
        <w:rPr>
          <w:lang w:val="da-DK"/>
        </w:rPr>
        <w:t>T</w:t>
      </w:r>
      <w:r>
        <w:rPr>
          <w:lang w:val="da-DK"/>
        </w:rPr>
        <w:t>-</w:t>
      </w:r>
      <w:r w:rsidRPr="00F820FE">
        <w:rPr>
          <w:lang w:val="da-DK"/>
        </w:rPr>
        <w:t>scanning kan evt. udskydes i 24 timer, da nogle børn bliver markant bedre efter IV antibiotika og scanning da kan undgås (</w:t>
      </w:r>
      <w:proofErr w:type="spellStart"/>
      <w:r w:rsidRPr="00F820FE">
        <w:rPr>
          <w:lang w:val="da-DK"/>
        </w:rPr>
        <w:t>konf</w:t>
      </w:r>
      <w:proofErr w:type="spellEnd"/>
      <w:r w:rsidRPr="00F820FE">
        <w:rPr>
          <w:lang w:val="da-DK"/>
        </w:rPr>
        <w:t>. BV / ØNH-læge / øjenlæge).</w:t>
      </w:r>
      <w:r w:rsidR="00555361">
        <w:rPr>
          <w:lang w:val="da-DK"/>
        </w:rPr>
        <w:t xml:space="preserve"> </w:t>
      </w:r>
      <w:r w:rsidR="00555361" w:rsidRPr="001E0C78">
        <w:rPr>
          <w:rStyle w:val="Fremhv"/>
          <w:i w:val="0"/>
          <w:iCs w:val="0"/>
          <w:shd w:val="clear" w:color="auto" w:fill="FFFFFF"/>
          <w:lang w:val="da-DK"/>
        </w:rPr>
        <w:t>Dette forudsætter</w:t>
      </w:r>
      <w:r w:rsidR="00555361">
        <w:rPr>
          <w:rStyle w:val="Fremhv"/>
          <w:i w:val="0"/>
          <w:iCs w:val="0"/>
          <w:shd w:val="clear" w:color="auto" w:fill="FFFFFF"/>
          <w:lang w:val="da-DK"/>
        </w:rPr>
        <w:t xml:space="preserve">, at der ikke er </w:t>
      </w:r>
      <w:r w:rsidR="00555361" w:rsidRPr="001E0C78">
        <w:rPr>
          <w:rStyle w:val="Fremhv"/>
          <w:i w:val="0"/>
          <w:iCs w:val="0"/>
          <w:shd w:val="clear" w:color="auto" w:fill="FFFFFF"/>
          <w:lang w:val="da-DK"/>
        </w:rPr>
        <w:t>involvering af selve øjet og synsfunktionen er intak</w:t>
      </w:r>
      <w:r w:rsidR="00555361">
        <w:rPr>
          <w:rStyle w:val="Fremhv"/>
          <w:i w:val="0"/>
          <w:iCs w:val="0"/>
          <w:shd w:val="clear" w:color="auto" w:fill="FFFFFF"/>
          <w:lang w:val="da-DK"/>
        </w:rPr>
        <w:t xml:space="preserve">t. </w:t>
      </w:r>
    </w:p>
    <w:p w14:paraId="7F5DA421" w14:textId="24322B4D" w:rsidR="00907FB8" w:rsidRPr="004E08C9" w:rsidRDefault="00ED77D3" w:rsidP="00907FB8">
      <w:pPr>
        <w:pStyle w:val="Listeafsnit"/>
        <w:numPr>
          <w:ilvl w:val="0"/>
          <w:numId w:val="23"/>
        </w:numPr>
        <w:rPr>
          <w:i/>
          <w:iCs/>
          <w:lang w:val="da-DK"/>
        </w:rPr>
      </w:pPr>
      <w:proofErr w:type="spellStart"/>
      <w:r>
        <w:rPr>
          <w:lang w:val="da-DK"/>
        </w:rPr>
        <w:t>K</w:t>
      </w:r>
      <w:r w:rsidR="00907FB8" w:rsidRPr="003B0EE9">
        <w:rPr>
          <w:lang w:val="da-DK"/>
        </w:rPr>
        <w:t>onf</w:t>
      </w:r>
      <w:proofErr w:type="spellEnd"/>
      <w:r w:rsidR="00907FB8" w:rsidRPr="003B0EE9">
        <w:rPr>
          <w:lang w:val="da-DK"/>
        </w:rPr>
        <w:t xml:space="preserve">. med øjenlæge inkl. foto og evt. </w:t>
      </w:r>
      <w:r w:rsidR="007C744B">
        <w:rPr>
          <w:lang w:val="da-DK"/>
        </w:rPr>
        <w:t>klinisk undersøgelse</w:t>
      </w:r>
      <w:r w:rsidR="00572803">
        <w:rPr>
          <w:lang w:val="da-DK"/>
        </w:rPr>
        <w:t xml:space="preserve"> </w:t>
      </w:r>
      <w:r w:rsidR="004E08C9">
        <w:rPr>
          <w:lang w:val="da-DK"/>
        </w:rPr>
        <w:t>(</w:t>
      </w:r>
      <w:proofErr w:type="spellStart"/>
      <w:r w:rsidR="00572803">
        <w:rPr>
          <w:lang w:val="da-DK"/>
        </w:rPr>
        <w:t>visus</w:t>
      </w:r>
      <w:proofErr w:type="spellEnd"/>
      <w:r w:rsidR="00572803">
        <w:rPr>
          <w:lang w:val="da-DK"/>
        </w:rPr>
        <w:t xml:space="preserve"> og infektionens udbredelse).</w:t>
      </w:r>
    </w:p>
    <w:p w14:paraId="5E9D66D1" w14:textId="33B3F8B3" w:rsidR="004E08C9" w:rsidRDefault="00ED77D3" w:rsidP="004E08C9">
      <w:pPr>
        <w:pStyle w:val="Listeafsnit"/>
        <w:numPr>
          <w:ilvl w:val="0"/>
          <w:numId w:val="23"/>
        </w:numPr>
        <w:rPr>
          <w:lang w:val="da-DK"/>
        </w:rPr>
      </w:pPr>
      <w:proofErr w:type="spellStart"/>
      <w:r>
        <w:rPr>
          <w:lang w:val="da-DK"/>
        </w:rPr>
        <w:t>K</w:t>
      </w:r>
      <w:r w:rsidR="004E08C9" w:rsidRPr="003B0EE9">
        <w:rPr>
          <w:lang w:val="da-DK"/>
        </w:rPr>
        <w:t>onf</w:t>
      </w:r>
      <w:proofErr w:type="spellEnd"/>
      <w:r w:rsidR="004E08C9" w:rsidRPr="003B0EE9">
        <w:rPr>
          <w:lang w:val="da-DK"/>
        </w:rPr>
        <w:t>. med ØNH</w:t>
      </w:r>
      <w:r w:rsidR="004E08C9">
        <w:rPr>
          <w:lang w:val="da-DK"/>
        </w:rPr>
        <w:t>-</w:t>
      </w:r>
      <w:r w:rsidR="004E08C9" w:rsidRPr="003B0EE9">
        <w:rPr>
          <w:lang w:val="da-DK"/>
        </w:rPr>
        <w:t>læge når CT-scanning</w:t>
      </w:r>
      <w:r w:rsidR="004E08C9">
        <w:rPr>
          <w:lang w:val="da-DK"/>
        </w:rPr>
        <w:t xml:space="preserve"> </w:t>
      </w:r>
      <w:r w:rsidR="004E08C9" w:rsidRPr="003B0EE9">
        <w:rPr>
          <w:lang w:val="da-DK"/>
        </w:rPr>
        <w:t>foreligger</w:t>
      </w:r>
    </w:p>
    <w:p w14:paraId="7D91B851" w14:textId="5F2A0EB0" w:rsidR="00ED77D3" w:rsidRPr="00ED77D3" w:rsidRDefault="00ED77D3" w:rsidP="00ED77D3">
      <w:pPr>
        <w:pStyle w:val="Listeafsnit"/>
        <w:numPr>
          <w:ilvl w:val="0"/>
          <w:numId w:val="23"/>
        </w:numPr>
        <w:rPr>
          <w:rStyle w:val="Fremhv"/>
          <w:i w:val="0"/>
          <w:iCs w:val="0"/>
          <w:lang w:val="da-DK"/>
        </w:rPr>
      </w:pPr>
      <w:r w:rsidRPr="00ED77D3">
        <w:rPr>
          <w:lang w:val="da-DK"/>
        </w:rPr>
        <w:t>MR</w:t>
      </w:r>
      <w:r>
        <w:rPr>
          <w:lang w:val="da-DK"/>
        </w:rPr>
        <w:t>-</w:t>
      </w:r>
      <w:r w:rsidRPr="00ED77D3">
        <w:rPr>
          <w:lang w:val="da-DK"/>
        </w:rPr>
        <w:t>scanning og lumbalpunktur overvejes ved neurologisk påvirkning eller anden mistanke om CNS</w:t>
      </w:r>
      <w:r>
        <w:rPr>
          <w:lang w:val="da-DK"/>
        </w:rPr>
        <w:t>-</w:t>
      </w:r>
      <w:r w:rsidRPr="00ED77D3">
        <w:rPr>
          <w:lang w:val="da-DK"/>
        </w:rPr>
        <w:t>infektion inkl. meningitis.</w:t>
      </w:r>
    </w:p>
    <w:p w14:paraId="122A664A" w14:textId="77777777" w:rsidR="00E8645D" w:rsidRPr="00642E1D" w:rsidRDefault="00E8645D" w:rsidP="00642E1D">
      <w:pPr>
        <w:rPr>
          <w:lang w:val="da-DK"/>
        </w:rPr>
      </w:pPr>
    </w:p>
    <w:p w14:paraId="74EBFC7E" w14:textId="77777777" w:rsidR="008F493F" w:rsidRPr="00B355A8" w:rsidRDefault="008F493F" w:rsidP="008F493F">
      <w:pPr>
        <w:pStyle w:val="Overskrift2"/>
        <w:rPr>
          <w:lang w:val="da-DK"/>
        </w:rPr>
      </w:pPr>
      <w:bookmarkStart w:id="39" w:name="_Toc216974765"/>
      <w:bookmarkStart w:id="40" w:name="_Toc216975317"/>
      <w:bookmarkStart w:id="41" w:name="_Toc217021570"/>
      <w:bookmarkStart w:id="42" w:name="_Toc223506095"/>
      <w:bookmarkStart w:id="43" w:name="_Toc223506399"/>
      <w:bookmarkStart w:id="44" w:name="_Toc223506444"/>
      <w:bookmarkStart w:id="45" w:name="_Toc473054372"/>
      <w:r w:rsidRPr="00B355A8">
        <w:rPr>
          <w:lang w:val="da-DK"/>
        </w:rPr>
        <w:t>Behandling</w:t>
      </w:r>
      <w:bookmarkEnd w:id="39"/>
      <w:bookmarkEnd w:id="40"/>
      <w:bookmarkEnd w:id="41"/>
      <w:bookmarkEnd w:id="42"/>
      <w:bookmarkEnd w:id="43"/>
      <w:bookmarkEnd w:id="44"/>
      <w:bookmarkEnd w:id="45"/>
    </w:p>
    <w:p w14:paraId="7326D107" w14:textId="551BAAC7" w:rsidR="002A44B6" w:rsidRPr="002A44B6" w:rsidRDefault="00FC21E9" w:rsidP="008F493F">
      <w:pPr>
        <w:rPr>
          <w:b/>
          <w:lang w:val="da-DK"/>
        </w:rPr>
      </w:pPr>
      <w:r>
        <w:rPr>
          <w:b/>
          <w:lang w:val="da-DK"/>
        </w:rPr>
        <w:t>Behandlings</w:t>
      </w:r>
      <w:r w:rsidR="00A24BAC">
        <w:rPr>
          <w:b/>
          <w:lang w:val="da-DK"/>
        </w:rPr>
        <w:t>s</w:t>
      </w:r>
      <w:r>
        <w:rPr>
          <w:b/>
          <w:lang w:val="da-DK"/>
        </w:rPr>
        <w:t>tart</w:t>
      </w:r>
    </w:p>
    <w:p w14:paraId="6D6A075B" w14:textId="70069BAA" w:rsidR="002A44B6" w:rsidRDefault="002A44B6" w:rsidP="008F493F">
      <w:pPr>
        <w:rPr>
          <w:lang w:val="da-DK"/>
        </w:rPr>
      </w:pPr>
      <w:r>
        <w:rPr>
          <w:lang w:val="da-DK"/>
        </w:rPr>
        <w:t xml:space="preserve">Alle med symptomer på </w:t>
      </w:r>
      <w:r w:rsidR="00E85F1A">
        <w:rPr>
          <w:lang w:val="da-DK"/>
        </w:rPr>
        <w:t xml:space="preserve">præ- og </w:t>
      </w:r>
      <w:proofErr w:type="spellStart"/>
      <w:r w:rsidR="00E85F1A">
        <w:rPr>
          <w:lang w:val="da-DK"/>
        </w:rPr>
        <w:t>postseptal</w:t>
      </w:r>
      <w:proofErr w:type="spellEnd"/>
      <w:r w:rsidR="00E85F1A">
        <w:rPr>
          <w:lang w:val="da-DK"/>
        </w:rPr>
        <w:t xml:space="preserve"> </w:t>
      </w:r>
      <w:r>
        <w:rPr>
          <w:lang w:val="da-DK"/>
        </w:rPr>
        <w:t>cellulitis skal behandles med antibiotika.</w:t>
      </w:r>
    </w:p>
    <w:p w14:paraId="3ACDA438" w14:textId="3B0C9823" w:rsidR="002A44B6" w:rsidRDefault="00960215" w:rsidP="008F493F">
      <w:pPr>
        <w:rPr>
          <w:lang w:val="da-DK"/>
        </w:rPr>
      </w:pPr>
      <w:r>
        <w:rPr>
          <w:lang w:val="da-DK"/>
        </w:rPr>
        <w:t xml:space="preserve">Agens påvises sjældent, men hvis det gør, målrettes den empiriske behandling. </w:t>
      </w:r>
    </w:p>
    <w:p w14:paraId="514EEC32" w14:textId="77777777" w:rsidR="002A44B6" w:rsidRDefault="002A44B6" w:rsidP="008F493F">
      <w:pPr>
        <w:rPr>
          <w:lang w:val="da-DK"/>
        </w:rPr>
      </w:pPr>
    </w:p>
    <w:p w14:paraId="5BC817F9" w14:textId="1ED42734" w:rsidR="002A44B6" w:rsidRPr="002A44B6" w:rsidRDefault="66E15DA3" w:rsidP="5967AC15">
      <w:pPr>
        <w:rPr>
          <w:b/>
          <w:bCs/>
          <w:lang w:val="da-DK"/>
        </w:rPr>
      </w:pPr>
      <w:proofErr w:type="spellStart"/>
      <w:r w:rsidRPr="5967AC15">
        <w:rPr>
          <w:b/>
          <w:bCs/>
          <w:lang w:val="da-DK"/>
        </w:rPr>
        <w:t>Pr</w:t>
      </w:r>
      <w:r w:rsidR="2D2823A3" w:rsidRPr="5967AC15">
        <w:rPr>
          <w:b/>
          <w:bCs/>
          <w:lang w:val="da-DK"/>
        </w:rPr>
        <w:t>æ</w:t>
      </w:r>
      <w:r w:rsidRPr="5967AC15">
        <w:rPr>
          <w:b/>
          <w:bCs/>
          <w:lang w:val="da-DK"/>
        </w:rPr>
        <w:t>septal</w:t>
      </w:r>
      <w:proofErr w:type="spellEnd"/>
      <w:r w:rsidRPr="5967AC15">
        <w:rPr>
          <w:b/>
          <w:bCs/>
          <w:lang w:val="da-DK"/>
        </w:rPr>
        <w:t xml:space="preserve"> cellulitis</w:t>
      </w:r>
    </w:p>
    <w:p w14:paraId="4FFBF68A" w14:textId="5AE4D32F" w:rsidR="002A44B6" w:rsidRDefault="493345E1" w:rsidP="008F493F">
      <w:pPr>
        <w:rPr>
          <w:lang w:val="da-DK"/>
        </w:rPr>
      </w:pPr>
      <w:r w:rsidRPr="5967AC15">
        <w:rPr>
          <w:lang w:val="da-DK"/>
        </w:rPr>
        <w:t xml:space="preserve">Hos det velbefindende barn med mild </w:t>
      </w:r>
      <w:proofErr w:type="spellStart"/>
      <w:r w:rsidRPr="5967AC15">
        <w:rPr>
          <w:lang w:val="da-DK"/>
        </w:rPr>
        <w:t>pr</w:t>
      </w:r>
      <w:r w:rsidR="2D2823A3" w:rsidRPr="5967AC15">
        <w:rPr>
          <w:lang w:val="da-DK"/>
        </w:rPr>
        <w:t>æ</w:t>
      </w:r>
      <w:r w:rsidRPr="5967AC15">
        <w:rPr>
          <w:lang w:val="da-DK"/>
        </w:rPr>
        <w:t>septal</w:t>
      </w:r>
      <w:proofErr w:type="spellEnd"/>
      <w:r w:rsidRPr="5967AC15">
        <w:rPr>
          <w:lang w:val="da-DK"/>
        </w:rPr>
        <w:t xml:space="preserve"> cellulitis uden systemisk påvirkning er peroral antibiotika 1. </w:t>
      </w:r>
      <w:r w:rsidR="02549341" w:rsidRPr="5967AC15">
        <w:rPr>
          <w:lang w:val="da-DK"/>
        </w:rPr>
        <w:t>v</w:t>
      </w:r>
      <w:r w:rsidRPr="5967AC15">
        <w:rPr>
          <w:lang w:val="da-DK"/>
        </w:rPr>
        <w:t>alg</w:t>
      </w:r>
      <w:r w:rsidR="59DEAC31" w:rsidRPr="5967AC15">
        <w:rPr>
          <w:lang w:val="da-DK"/>
        </w:rPr>
        <w:t>. Der kan vælges en af følgende muligheder</w:t>
      </w:r>
      <w:r w:rsidR="00EA0468">
        <w:rPr>
          <w:lang w:val="da-DK"/>
        </w:rPr>
        <w:t>:</w:t>
      </w:r>
    </w:p>
    <w:p w14:paraId="54D99F75" w14:textId="77777777" w:rsidR="002E50C5" w:rsidRDefault="002E50C5" w:rsidP="008F493F">
      <w:pPr>
        <w:rPr>
          <w:lang w:val="da-DK"/>
        </w:rPr>
      </w:pPr>
    </w:p>
    <w:p w14:paraId="7095F9A8" w14:textId="3E167398" w:rsidR="007D6909" w:rsidRPr="007D6909" w:rsidRDefault="00FF172A" w:rsidP="007D6909">
      <w:pPr>
        <w:pStyle w:val="Listeafsnit"/>
        <w:numPr>
          <w:ilvl w:val="0"/>
          <w:numId w:val="18"/>
        </w:numPr>
        <w:rPr>
          <w:lang w:val="da-DK"/>
        </w:rPr>
      </w:pPr>
      <w:proofErr w:type="spellStart"/>
      <w:r w:rsidRPr="5967AC15">
        <w:rPr>
          <w:lang w:val="da-DK"/>
        </w:rPr>
        <w:t>Phenoxymethylpenicillin</w:t>
      </w:r>
      <w:proofErr w:type="spellEnd"/>
      <w:r w:rsidRPr="5967AC15">
        <w:rPr>
          <w:lang w:val="da-DK"/>
        </w:rPr>
        <w:t xml:space="preserve"> 50 mg/kg/døgn fordelt på 3 doser </w:t>
      </w:r>
      <w:r>
        <w:rPr>
          <w:lang w:val="da-DK"/>
        </w:rPr>
        <w:br/>
        <w:t>OG</w:t>
      </w:r>
      <w:r w:rsidRPr="5967AC15">
        <w:rPr>
          <w:lang w:val="da-DK"/>
        </w:rPr>
        <w:t xml:space="preserve"> </w:t>
      </w:r>
      <w:r>
        <w:rPr>
          <w:lang w:val="da-DK"/>
        </w:rPr>
        <w:br/>
      </w:r>
      <w:r w:rsidRPr="5967AC15">
        <w:rPr>
          <w:lang w:val="da-DK"/>
        </w:rPr>
        <w:t>Dicloxacillin el. flucloxacillin 50 mg/kg/døgn fordelt på 3 doser</w:t>
      </w:r>
    </w:p>
    <w:p w14:paraId="03F6CD66" w14:textId="24A8017A" w:rsidR="007D6909" w:rsidRPr="00FF172A" w:rsidRDefault="00FF172A" w:rsidP="007D6909">
      <w:pPr>
        <w:ind w:left="712" w:firstLine="1304"/>
        <w:rPr>
          <w:lang w:val="da-DK"/>
        </w:rPr>
      </w:pPr>
      <w:r w:rsidRPr="00FF172A">
        <w:rPr>
          <w:lang w:val="da-DK"/>
        </w:rPr>
        <w:t>ELLER</w:t>
      </w:r>
    </w:p>
    <w:p w14:paraId="2BBF89C1" w14:textId="52ABB816" w:rsidR="00EF6272" w:rsidRDefault="4572761E" w:rsidP="002A44B6">
      <w:pPr>
        <w:pStyle w:val="Listeafsnit"/>
        <w:numPr>
          <w:ilvl w:val="0"/>
          <w:numId w:val="18"/>
        </w:numPr>
        <w:rPr>
          <w:lang w:val="da-DK"/>
        </w:rPr>
      </w:pPr>
      <w:proofErr w:type="spellStart"/>
      <w:r w:rsidRPr="5967AC15">
        <w:rPr>
          <w:lang w:val="da-DK"/>
        </w:rPr>
        <w:t>A</w:t>
      </w:r>
      <w:r w:rsidR="18D6F3D4" w:rsidRPr="5967AC15">
        <w:rPr>
          <w:lang w:val="da-DK"/>
        </w:rPr>
        <w:t>moxicillin</w:t>
      </w:r>
      <w:proofErr w:type="spellEnd"/>
      <w:r w:rsidR="18D6F3D4" w:rsidRPr="5967AC15">
        <w:rPr>
          <w:lang w:val="da-DK"/>
        </w:rPr>
        <w:t xml:space="preserve"> </w:t>
      </w:r>
      <w:r w:rsidR="00960215">
        <w:rPr>
          <w:lang w:val="da-DK"/>
        </w:rPr>
        <w:t>med</w:t>
      </w:r>
      <w:r w:rsidR="18D6F3D4" w:rsidRPr="5967AC15">
        <w:rPr>
          <w:lang w:val="da-DK"/>
        </w:rPr>
        <w:t xml:space="preserve"> </w:t>
      </w:r>
      <w:proofErr w:type="spellStart"/>
      <w:r w:rsidR="00BD6CCC">
        <w:rPr>
          <w:lang w:val="da-DK"/>
        </w:rPr>
        <w:t>c</w:t>
      </w:r>
      <w:r w:rsidR="18D6F3D4" w:rsidRPr="5967AC15">
        <w:rPr>
          <w:lang w:val="da-DK"/>
        </w:rPr>
        <w:t>lavulansyre</w:t>
      </w:r>
      <w:proofErr w:type="spellEnd"/>
      <w:r w:rsidR="18D6F3D4" w:rsidRPr="5967AC15">
        <w:rPr>
          <w:lang w:val="da-DK"/>
        </w:rPr>
        <w:t xml:space="preserve"> 50 mg/kg/døgn fordelt på 3 doser</w:t>
      </w:r>
      <w:r w:rsidR="02549341" w:rsidRPr="5967AC15">
        <w:rPr>
          <w:lang w:val="da-DK"/>
        </w:rPr>
        <w:t xml:space="preserve"> </w:t>
      </w:r>
    </w:p>
    <w:p w14:paraId="3BC734A1" w14:textId="77777777" w:rsidR="002E50C5" w:rsidRPr="002E50C5" w:rsidRDefault="002E50C5" w:rsidP="002E50C5">
      <w:pPr>
        <w:pStyle w:val="Listeafsnit"/>
        <w:ind w:left="2016"/>
        <w:rPr>
          <w:lang w:val="da-DK"/>
        </w:rPr>
      </w:pPr>
    </w:p>
    <w:p w14:paraId="0B051DCE" w14:textId="1A9643BC" w:rsidR="00960215" w:rsidRPr="00960215" w:rsidRDefault="00960215" w:rsidP="002A44B6">
      <w:pPr>
        <w:rPr>
          <w:lang w:val="da-DK"/>
        </w:rPr>
      </w:pPr>
      <w:r w:rsidRPr="00960215">
        <w:rPr>
          <w:lang w:val="da-DK"/>
        </w:rPr>
        <w:t>Kombinationen penicillin og dicloxacillin/flucloxacil</w:t>
      </w:r>
      <w:r w:rsidRPr="00EA0468">
        <w:rPr>
          <w:lang w:val="da-DK"/>
        </w:rPr>
        <w:t xml:space="preserve">lin </w:t>
      </w:r>
      <w:r>
        <w:rPr>
          <w:lang w:val="da-DK"/>
        </w:rPr>
        <w:t xml:space="preserve">er mest smalspektret og </w:t>
      </w:r>
      <w:r w:rsidRPr="00EA0468">
        <w:rPr>
          <w:lang w:val="da-DK"/>
        </w:rPr>
        <w:t>bør vær</w:t>
      </w:r>
      <w:r>
        <w:rPr>
          <w:lang w:val="da-DK"/>
        </w:rPr>
        <w:t>e førstevalg</w:t>
      </w:r>
      <w:r w:rsidR="00C3209F">
        <w:rPr>
          <w:lang w:val="da-DK"/>
        </w:rPr>
        <w:t xml:space="preserve"> i alle aldre</w:t>
      </w:r>
      <w:r>
        <w:rPr>
          <w:lang w:val="da-DK"/>
        </w:rPr>
        <w:t xml:space="preserve">. </w:t>
      </w:r>
      <w:r w:rsidR="00C3209F">
        <w:rPr>
          <w:lang w:val="da-DK"/>
        </w:rPr>
        <w:t>Nogle børn, især de mindste, kan dog være udfordret af mængden og smagen af antibiotika, hvorfor amoxicillin med clavulansyre samlet set kan være et bedre valg for denne gruppe.</w:t>
      </w:r>
      <w:r>
        <w:rPr>
          <w:lang w:val="da-DK"/>
        </w:rPr>
        <w:t xml:space="preserve"> </w:t>
      </w:r>
    </w:p>
    <w:p w14:paraId="500872E2" w14:textId="77777777" w:rsidR="00960215" w:rsidRPr="00960215" w:rsidRDefault="00960215" w:rsidP="002A44B6">
      <w:pPr>
        <w:rPr>
          <w:lang w:val="da-DK"/>
        </w:rPr>
      </w:pPr>
    </w:p>
    <w:p w14:paraId="6303EADD" w14:textId="662637E7" w:rsidR="002A44B6" w:rsidRDefault="002A44B6" w:rsidP="002A44B6">
      <w:pPr>
        <w:rPr>
          <w:lang w:val="da-DK"/>
        </w:rPr>
      </w:pPr>
      <w:r>
        <w:rPr>
          <w:lang w:val="da-DK"/>
        </w:rPr>
        <w:t xml:space="preserve">Moderat </w:t>
      </w:r>
      <w:r w:rsidR="00FC21E9">
        <w:rPr>
          <w:lang w:val="da-DK"/>
        </w:rPr>
        <w:t xml:space="preserve">eller svær </w:t>
      </w:r>
      <w:proofErr w:type="spellStart"/>
      <w:r w:rsidR="00FC21E9">
        <w:rPr>
          <w:lang w:val="da-DK"/>
        </w:rPr>
        <w:t>pr</w:t>
      </w:r>
      <w:r w:rsidR="00FF172A">
        <w:rPr>
          <w:lang w:val="da-DK"/>
        </w:rPr>
        <w:t>æ</w:t>
      </w:r>
      <w:r w:rsidR="00FC21E9">
        <w:rPr>
          <w:lang w:val="da-DK"/>
        </w:rPr>
        <w:t>septal</w:t>
      </w:r>
      <w:proofErr w:type="spellEnd"/>
      <w:r w:rsidR="00FC21E9">
        <w:rPr>
          <w:lang w:val="da-DK"/>
        </w:rPr>
        <w:t xml:space="preserve"> cellulitis</w:t>
      </w:r>
    </w:p>
    <w:p w14:paraId="1903105C" w14:textId="04FD720B" w:rsidR="004A392E" w:rsidRPr="004A392E" w:rsidRDefault="66E15DA3">
      <w:pPr>
        <w:pStyle w:val="Listeafsnit"/>
        <w:numPr>
          <w:ilvl w:val="0"/>
          <w:numId w:val="18"/>
        </w:numPr>
        <w:rPr>
          <w:lang w:val="da-DK"/>
        </w:rPr>
      </w:pPr>
      <w:r w:rsidRPr="5967AC15">
        <w:rPr>
          <w:lang w:val="da-DK"/>
        </w:rPr>
        <w:t>I</w:t>
      </w:r>
      <w:r w:rsidR="00C3209F">
        <w:rPr>
          <w:lang w:val="da-DK"/>
        </w:rPr>
        <w:t>V</w:t>
      </w:r>
      <w:r w:rsidRPr="5967AC15">
        <w:rPr>
          <w:lang w:val="da-DK"/>
        </w:rPr>
        <w:t xml:space="preserve"> antibiotika </w:t>
      </w:r>
      <w:r w:rsidR="1FBE1AA4" w:rsidRPr="5967AC15">
        <w:rPr>
          <w:lang w:val="da-DK"/>
        </w:rPr>
        <w:t>initialt (</w:t>
      </w:r>
      <w:r w:rsidRPr="5967AC15">
        <w:rPr>
          <w:lang w:val="da-DK"/>
        </w:rPr>
        <w:t>2-3 dage</w:t>
      </w:r>
      <w:r w:rsidR="1FBE1AA4" w:rsidRPr="5967AC15">
        <w:rPr>
          <w:lang w:val="da-DK"/>
        </w:rPr>
        <w:t>)</w:t>
      </w:r>
      <w:r w:rsidR="18D6F3D4" w:rsidRPr="5967AC15">
        <w:rPr>
          <w:lang w:val="da-DK"/>
        </w:rPr>
        <w:t xml:space="preserve"> (se muligheder nedenfor), </w:t>
      </w:r>
      <w:r w:rsidRPr="5967AC15">
        <w:rPr>
          <w:lang w:val="da-DK"/>
        </w:rPr>
        <w:t>efterfulgt af</w:t>
      </w:r>
      <w:r w:rsidR="1FBE1AA4" w:rsidRPr="5967AC15">
        <w:rPr>
          <w:lang w:val="da-DK"/>
        </w:rPr>
        <w:t xml:space="preserve"> peroral AB</w:t>
      </w:r>
      <w:r w:rsidR="403E3501" w:rsidRPr="5967AC15">
        <w:rPr>
          <w:lang w:val="da-DK"/>
        </w:rPr>
        <w:t xml:space="preserve"> (se muligheder ovenfor)</w:t>
      </w:r>
      <w:r w:rsidR="5416EB76" w:rsidRPr="5967AC15">
        <w:rPr>
          <w:lang w:val="da-DK"/>
        </w:rPr>
        <w:t>.</w:t>
      </w:r>
    </w:p>
    <w:p w14:paraId="3B46AC71" w14:textId="47D73BE2" w:rsidR="00876139" w:rsidRPr="00876139" w:rsidRDefault="00876139" w:rsidP="5967AC15">
      <w:pPr>
        <w:pStyle w:val="Listeafsnit"/>
        <w:ind w:left="0"/>
        <w:rPr>
          <w:lang w:val="da-DK"/>
        </w:rPr>
      </w:pPr>
    </w:p>
    <w:p w14:paraId="02BF6C4F" w14:textId="00E31242" w:rsidR="002A44B6" w:rsidRPr="000F4F2A" w:rsidRDefault="00FC21E9" w:rsidP="008F493F">
      <w:pPr>
        <w:rPr>
          <w:b/>
          <w:lang w:val="da-DK"/>
        </w:rPr>
      </w:pPr>
      <w:proofErr w:type="spellStart"/>
      <w:r w:rsidRPr="00FC21E9">
        <w:rPr>
          <w:b/>
          <w:lang w:val="da-DK"/>
        </w:rPr>
        <w:t>Postseptal</w:t>
      </w:r>
      <w:proofErr w:type="spellEnd"/>
      <w:r w:rsidRPr="00FC21E9">
        <w:rPr>
          <w:b/>
          <w:lang w:val="da-DK"/>
        </w:rPr>
        <w:t xml:space="preserve"> cellulitis</w:t>
      </w:r>
    </w:p>
    <w:p w14:paraId="1D8EC56C" w14:textId="7E48A721" w:rsidR="00876139" w:rsidRDefault="00876139" w:rsidP="008F493F">
      <w:pPr>
        <w:rPr>
          <w:lang w:val="da-DK"/>
        </w:rPr>
      </w:pPr>
      <w:r>
        <w:rPr>
          <w:lang w:val="da-DK"/>
        </w:rPr>
        <w:t xml:space="preserve">Ved </w:t>
      </w:r>
      <w:r w:rsidR="00C3209F">
        <w:rPr>
          <w:lang w:val="da-DK"/>
        </w:rPr>
        <w:t>IV</w:t>
      </w:r>
      <w:r>
        <w:rPr>
          <w:lang w:val="da-DK"/>
        </w:rPr>
        <w:t xml:space="preserve"> antibiotika kan der vælge</w:t>
      </w:r>
      <w:r w:rsidR="00FC5972">
        <w:rPr>
          <w:lang w:val="da-DK"/>
        </w:rPr>
        <w:t>s</w:t>
      </w:r>
      <w:r>
        <w:rPr>
          <w:lang w:val="da-DK"/>
        </w:rPr>
        <w:t xml:space="preserve"> imellem følgende kombinationer</w:t>
      </w:r>
    </w:p>
    <w:p w14:paraId="66F199EA" w14:textId="77777777" w:rsidR="005C3A45" w:rsidRDefault="005C3A45" w:rsidP="008F493F">
      <w:pPr>
        <w:rPr>
          <w:lang w:val="da-DK"/>
        </w:rPr>
      </w:pPr>
    </w:p>
    <w:p w14:paraId="1741C4F3" w14:textId="517AD3CF" w:rsidR="007B1DBC" w:rsidRPr="005A6E37" w:rsidRDefault="1FC463A6" w:rsidP="005A6E37">
      <w:pPr>
        <w:pStyle w:val="Listeafsnit"/>
        <w:numPr>
          <w:ilvl w:val="0"/>
          <w:numId w:val="19"/>
        </w:numPr>
        <w:rPr>
          <w:lang w:val="da-DK"/>
        </w:rPr>
      </w:pPr>
      <w:proofErr w:type="spellStart"/>
      <w:r w:rsidRPr="5967AC15">
        <w:rPr>
          <w:lang w:val="da-DK"/>
        </w:rPr>
        <w:t>Piperacillin</w:t>
      </w:r>
      <w:proofErr w:type="spellEnd"/>
      <w:r w:rsidRPr="5967AC15">
        <w:rPr>
          <w:lang w:val="da-DK"/>
        </w:rPr>
        <w:t>/</w:t>
      </w:r>
      <w:proofErr w:type="spellStart"/>
      <w:r w:rsidRPr="5967AC15">
        <w:rPr>
          <w:lang w:val="da-DK"/>
        </w:rPr>
        <w:t>tazobactam</w:t>
      </w:r>
      <w:proofErr w:type="spellEnd"/>
      <w:r w:rsidR="001A4E5E">
        <w:rPr>
          <w:lang w:val="da-DK"/>
        </w:rPr>
        <w:t xml:space="preserve"> </w:t>
      </w:r>
      <w:r w:rsidRPr="5967AC15">
        <w:rPr>
          <w:lang w:val="da-DK"/>
        </w:rPr>
        <w:t>100 mg/kg x 3</w:t>
      </w:r>
      <w:r w:rsidR="00FF4305">
        <w:rPr>
          <w:lang w:val="da-DK"/>
        </w:rPr>
        <w:t xml:space="preserve"> IV</w:t>
      </w:r>
      <w:r w:rsidR="003D7C86">
        <w:rPr>
          <w:lang w:val="da-DK"/>
        </w:rPr>
        <w:br/>
        <w:t>V</w:t>
      </w:r>
      <w:r w:rsidRPr="5967AC15">
        <w:rPr>
          <w:lang w:val="da-DK"/>
        </w:rPr>
        <w:t>ed absces</w:t>
      </w:r>
      <w:r w:rsidR="00842D62">
        <w:rPr>
          <w:lang w:val="da-DK"/>
        </w:rPr>
        <w:t xml:space="preserve"> </w:t>
      </w:r>
      <w:r w:rsidRPr="5967AC15">
        <w:rPr>
          <w:lang w:val="da-DK"/>
        </w:rPr>
        <w:t xml:space="preserve">tillægges </w:t>
      </w:r>
      <w:proofErr w:type="spellStart"/>
      <w:r w:rsidRPr="5967AC15">
        <w:rPr>
          <w:lang w:val="da-DK"/>
        </w:rPr>
        <w:t>metronidazol</w:t>
      </w:r>
      <w:proofErr w:type="spellEnd"/>
      <w:r w:rsidRPr="5967AC15">
        <w:rPr>
          <w:lang w:val="da-DK"/>
        </w:rPr>
        <w:t xml:space="preserve"> </w:t>
      </w:r>
      <w:r w:rsidR="003D7C86">
        <w:rPr>
          <w:lang w:val="da-DK"/>
        </w:rPr>
        <w:t>10</w:t>
      </w:r>
      <w:r w:rsidRPr="5967AC15">
        <w:rPr>
          <w:lang w:val="da-DK"/>
        </w:rPr>
        <w:t xml:space="preserve"> mg/kg</w:t>
      </w:r>
      <w:r w:rsidR="003D7C86">
        <w:rPr>
          <w:lang w:val="da-DK"/>
        </w:rPr>
        <w:t xml:space="preserve"> x 3</w:t>
      </w:r>
      <w:r w:rsidR="00FF4305">
        <w:rPr>
          <w:lang w:val="da-DK"/>
        </w:rPr>
        <w:t xml:space="preserve"> IV/PO/</w:t>
      </w:r>
      <w:proofErr w:type="spellStart"/>
      <w:r w:rsidR="00FF4305">
        <w:rPr>
          <w:lang w:val="da-DK"/>
        </w:rPr>
        <w:t>supp</w:t>
      </w:r>
      <w:proofErr w:type="spellEnd"/>
      <w:r w:rsidR="00FF4305">
        <w:rPr>
          <w:lang w:val="da-DK"/>
        </w:rPr>
        <w:t>.</w:t>
      </w:r>
      <w:r w:rsidR="00E6318C">
        <w:rPr>
          <w:lang w:val="da-DK"/>
        </w:rPr>
        <w:t xml:space="preserve"> </w:t>
      </w:r>
      <w:r w:rsidR="003D7C86">
        <w:rPr>
          <w:lang w:val="da-DK"/>
        </w:rPr>
        <w:br/>
        <w:t>Kommentar: Pip-</w:t>
      </w:r>
      <w:proofErr w:type="spellStart"/>
      <w:r w:rsidR="003D7C86">
        <w:rPr>
          <w:lang w:val="da-DK"/>
        </w:rPr>
        <w:t>tazo</w:t>
      </w:r>
      <w:proofErr w:type="spellEnd"/>
      <w:r w:rsidR="003D7C86">
        <w:rPr>
          <w:lang w:val="da-DK"/>
        </w:rPr>
        <w:t xml:space="preserve"> er</w:t>
      </w:r>
      <w:r w:rsidR="0098139F">
        <w:rPr>
          <w:lang w:val="da-DK"/>
        </w:rPr>
        <w:t xml:space="preserve"> bredspektret og </w:t>
      </w:r>
      <w:proofErr w:type="spellStart"/>
      <w:r w:rsidR="0098139F">
        <w:rPr>
          <w:lang w:val="da-DK"/>
        </w:rPr>
        <w:t>anerobt</w:t>
      </w:r>
      <w:proofErr w:type="spellEnd"/>
      <w:r w:rsidR="0098139F">
        <w:rPr>
          <w:lang w:val="da-DK"/>
        </w:rPr>
        <w:t xml:space="preserve"> dækkende. </w:t>
      </w:r>
      <w:proofErr w:type="spellStart"/>
      <w:r w:rsidR="0098139F">
        <w:rPr>
          <w:lang w:val="da-DK"/>
        </w:rPr>
        <w:t>Metronidazol</w:t>
      </w:r>
      <w:proofErr w:type="spellEnd"/>
      <w:r w:rsidR="0098139F">
        <w:rPr>
          <w:lang w:val="da-DK"/>
        </w:rPr>
        <w:t xml:space="preserve"> kan tillægges </w:t>
      </w:r>
      <w:r w:rsidR="00381C33">
        <w:rPr>
          <w:lang w:val="da-DK"/>
        </w:rPr>
        <w:t xml:space="preserve">for bedre </w:t>
      </w:r>
      <w:proofErr w:type="spellStart"/>
      <w:r w:rsidR="00381C33">
        <w:rPr>
          <w:lang w:val="da-DK"/>
        </w:rPr>
        <w:t>penetrans</w:t>
      </w:r>
      <w:proofErr w:type="spellEnd"/>
      <w:r w:rsidR="00381C33">
        <w:rPr>
          <w:lang w:val="da-DK"/>
        </w:rPr>
        <w:t>.</w:t>
      </w:r>
    </w:p>
    <w:p w14:paraId="7BD94AC4" w14:textId="77777777" w:rsidR="007B1DBC" w:rsidRPr="005A6E37" w:rsidRDefault="007B1DBC" w:rsidP="005A6E37">
      <w:pPr>
        <w:rPr>
          <w:lang w:val="da-DK"/>
        </w:rPr>
      </w:pPr>
    </w:p>
    <w:p w14:paraId="7560B0BB" w14:textId="5A1AF5EE" w:rsidR="005C3A45" w:rsidRPr="008B4FAE" w:rsidRDefault="5DA2DE3C" w:rsidP="008B4FAE">
      <w:pPr>
        <w:pStyle w:val="Listeafsnit"/>
        <w:numPr>
          <w:ilvl w:val="0"/>
          <w:numId w:val="19"/>
        </w:numPr>
        <w:rPr>
          <w:lang w:val="da-DK"/>
        </w:rPr>
      </w:pPr>
      <w:r w:rsidRPr="00944524">
        <w:rPr>
          <w:lang w:val="da-DK"/>
        </w:rPr>
        <w:t xml:space="preserve">Ceftriaxon </w:t>
      </w:r>
      <w:r w:rsidR="008721E7" w:rsidRPr="00944524">
        <w:rPr>
          <w:lang w:val="da-DK"/>
        </w:rPr>
        <w:t>100</w:t>
      </w:r>
      <w:r w:rsidRPr="00944524">
        <w:rPr>
          <w:lang w:val="da-DK"/>
        </w:rPr>
        <w:t xml:space="preserve"> mg/kg</w:t>
      </w:r>
      <w:r w:rsidR="1FBE1AA4" w:rsidRPr="00944524">
        <w:rPr>
          <w:lang w:val="da-DK"/>
        </w:rPr>
        <w:t xml:space="preserve"> x 1</w:t>
      </w:r>
      <w:r w:rsidR="7D57C257" w:rsidRPr="00944524">
        <w:rPr>
          <w:lang w:val="da-DK"/>
        </w:rPr>
        <w:t xml:space="preserve"> </w:t>
      </w:r>
      <w:r w:rsidR="00FF4305">
        <w:rPr>
          <w:lang w:val="da-DK"/>
        </w:rPr>
        <w:t xml:space="preserve">IV </w:t>
      </w:r>
      <w:r w:rsidR="00B374C9">
        <w:rPr>
          <w:b/>
          <w:bCs/>
          <w:lang w:val="da-DK"/>
        </w:rPr>
        <w:t>OG</w:t>
      </w:r>
      <w:r w:rsidR="7D57C257" w:rsidRPr="00944524">
        <w:rPr>
          <w:lang w:val="da-DK"/>
        </w:rPr>
        <w:t xml:space="preserve"> </w:t>
      </w:r>
      <w:proofErr w:type="spellStart"/>
      <w:r w:rsidR="7D57C257" w:rsidRPr="00944524">
        <w:rPr>
          <w:lang w:val="da-DK"/>
        </w:rPr>
        <w:t>metronidazol</w:t>
      </w:r>
      <w:proofErr w:type="spellEnd"/>
      <w:r w:rsidR="7D57C257" w:rsidRPr="00944524">
        <w:rPr>
          <w:lang w:val="da-DK"/>
        </w:rPr>
        <w:t xml:space="preserve"> </w:t>
      </w:r>
      <w:r w:rsidR="003D7C86">
        <w:rPr>
          <w:lang w:val="da-DK"/>
        </w:rPr>
        <w:t>10</w:t>
      </w:r>
      <w:r w:rsidR="1FC463A6" w:rsidRPr="00944524">
        <w:rPr>
          <w:lang w:val="da-DK"/>
        </w:rPr>
        <w:t xml:space="preserve"> mg/kg</w:t>
      </w:r>
      <w:r w:rsidR="003D7C86">
        <w:rPr>
          <w:lang w:val="da-DK"/>
        </w:rPr>
        <w:t xml:space="preserve"> x 3</w:t>
      </w:r>
      <w:r w:rsidR="1FC463A6" w:rsidRPr="00944524">
        <w:rPr>
          <w:lang w:val="da-DK"/>
        </w:rPr>
        <w:t xml:space="preserve"> PO/</w:t>
      </w:r>
      <w:proofErr w:type="spellStart"/>
      <w:r w:rsidR="1FC463A6" w:rsidRPr="00944524">
        <w:rPr>
          <w:lang w:val="da-DK"/>
        </w:rPr>
        <w:t>supp</w:t>
      </w:r>
      <w:proofErr w:type="spellEnd"/>
      <w:r w:rsidR="008B4FAE">
        <w:rPr>
          <w:lang w:val="da-DK"/>
        </w:rPr>
        <w:t xml:space="preserve">. </w:t>
      </w:r>
      <w:r w:rsidR="00B374C9">
        <w:rPr>
          <w:lang w:val="da-DK"/>
        </w:rPr>
        <w:t xml:space="preserve">Kommentar: </w:t>
      </w:r>
      <w:r w:rsidR="003D7C86">
        <w:rPr>
          <w:lang w:val="da-DK"/>
        </w:rPr>
        <w:t>Ceftriaxon er bredspektret</w:t>
      </w:r>
      <w:r w:rsidR="00C1698D">
        <w:rPr>
          <w:lang w:val="da-DK"/>
        </w:rPr>
        <w:t>. Kan administreres x 1 i døgnet</w:t>
      </w:r>
      <w:r w:rsidR="003D7C86">
        <w:rPr>
          <w:lang w:val="da-DK"/>
        </w:rPr>
        <w:t xml:space="preserve"> og foretrækkes</w:t>
      </w:r>
      <w:r w:rsidR="00C1698D">
        <w:rPr>
          <w:lang w:val="da-DK"/>
        </w:rPr>
        <w:t xml:space="preserve"> hvis patienten er </w:t>
      </w:r>
      <w:r w:rsidR="00C8558D">
        <w:rPr>
          <w:lang w:val="da-DK"/>
        </w:rPr>
        <w:t xml:space="preserve">stabil nok til at gå på orlov. </w:t>
      </w:r>
      <w:proofErr w:type="spellStart"/>
      <w:r w:rsidR="00C8558D">
        <w:rPr>
          <w:lang w:val="da-DK"/>
        </w:rPr>
        <w:t>Metronidazol</w:t>
      </w:r>
      <w:proofErr w:type="spellEnd"/>
      <w:r w:rsidR="00C8558D">
        <w:rPr>
          <w:lang w:val="da-DK"/>
        </w:rPr>
        <w:t xml:space="preserve"> </w:t>
      </w:r>
      <w:r w:rsidR="003D7C86">
        <w:rPr>
          <w:lang w:val="da-DK"/>
        </w:rPr>
        <w:t>(PO/</w:t>
      </w:r>
      <w:proofErr w:type="spellStart"/>
      <w:r w:rsidR="003D7C86">
        <w:rPr>
          <w:lang w:val="da-DK"/>
        </w:rPr>
        <w:t>supp</w:t>
      </w:r>
      <w:proofErr w:type="spellEnd"/>
      <w:r w:rsidR="003D7C86">
        <w:rPr>
          <w:lang w:val="da-DK"/>
        </w:rPr>
        <w:t xml:space="preserve">) </w:t>
      </w:r>
      <w:r w:rsidR="00C8558D">
        <w:rPr>
          <w:lang w:val="da-DK"/>
        </w:rPr>
        <w:t xml:space="preserve">tillægges </w:t>
      </w:r>
      <w:r w:rsidR="003B3823">
        <w:rPr>
          <w:lang w:val="da-DK"/>
        </w:rPr>
        <w:t>for an</w:t>
      </w:r>
      <w:r w:rsidR="00FC0858">
        <w:rPr>
          <w:lang w:val="da-DK"/>
        </w:rPr>
        <w:t>a</w:t>
      </w:r>
      <w:r w:rsidR="003B3823">
        <w:rPr>
          <w:lang w:val="da-DK"/>
        </w:rPr>
        <w:t>erob dækning</w:t>
      </w:r>
      <w:r w:rsidR="0045215E">
        <w:rPr>
          <w:lang w:val="da-DK"/>
        </w:rPr>
        <w:t xml:space="preserve">, samt bedre </w:t>
      </w:r>
      <w:proofErr w:type="spellStart"/>
      <w:r w:rsidR="0045215E">
        <w:rPr>
          <w:lang w:val="da-DK"/>
        </w:rPr>
        <w:t>penetrans</w:t>
      </w:r>
      <w:proofErr w:type="spellEnd"/>
      <w:r w:rsidR="0045215E">
        <w:rPr>
          <w:lang w:val="da-DK"/>
        </w:rPr>
        <w:t>.</w:t>
      </w:r>
    </w:p>
    <w:p w14:paraId="63A6D56A" w14:textId="77777777" w:rsidR="007B1DBC" w:rsidRPr="00944524" w:rsidRDefault="007B1DBC" w:rsidP="007B1DBC">
      <w:pPr>
        <w:pStyle w:val="Listeafsnit"/>
        <w:ind w:left="2016"/>
        <w:rPr>
          <w:lang w:val="da-DK"/>
        </w:rPr>
      </w:pPr>
    </w:p>
    <w:p w14:paraId="6A64656F" w14:textId="5909FDED" w:rsidR="00BE05B3" w:rsidRDefault="00B43042" w:rsidP="006B68C6">
      <w:pPr>
        <w:rPr>
          <w:b/>
          <w:lang w:val="da-DK"/>
        </w:rPr>
      </w:pPr>
      <w:r>
        <w:rPr>
          <w:bCs/>
          <w:lang w:val="da-DK"/>
        </w:rPr>
        <w:lastRenderedPageBreak/>
        <w:t>B</w:t>
      </w:r>
      <w:r w:rsidR="00BE05B3" w:rsidRPr="008721E7">
        <w:rPr>
          <w:bCs/>
          <w:lang w:val="da-DK"/>
        </w:rPr>
        <w:t xml:space="preserve">ehandlingen suppleres med </w:t>
      </w:r>
      <w:proofErr w:type="spellStart"/>
      <w:r w:rsidR="00BE05B3" w:rsidRPr="008721E7">
        <w:rPr>
          <w:bCs/>
          <w:lang w:val="da-DK"/>
        </w:rPr>
        <w:t>detumescerende</w:t>
      </w:r>
      <w:proofErr w:type="spellEnd"/>
      <w:r w:rsidR="00BE05B3" w:rsidRPr="008721E7">
        <w:rPr>
          <w:bCs/>
          <w:lang w:val="da-DK"/>
        </w:rPr>
        <w:t xml:space="preserve"> næsesp</w:t>
      </w:r>
      <w:r w:rsidR="00B07F53">
        <w:rPr>
          <w:bCs/>
          <w:lang w:val="da-DK"/>
        </w:rPr>
        <w:t>ray;</w:t>
      </w:r>
      <w:r w:rsidR="00BE05B3" w:rsidRPr="008721E7">
        <w:rPr>
          <w:bCs/>
          <w:lang w:val="da-DK"/>
        </w:rPr>
        <w:t xml:space="preserve"> </w:t>
      </w:r>
      <w:proofErr w:type="spellStart"/>
      <w:r w:rsidR="00BE05B3" w:rsidRPr="008721E7">
        <w:rPr>
          <w:bCs/>
          <w:lang w:val="da-DK"/>
        </w:rPr>
        <w:t>Zymelin</w:t>
      </w:r>
      <w:proofErr w:type="spellEnd"/>
      <w:r w:rsidR="00BE05B3" w:rsidRPr="008721E7">
        <w:rPr>
          <w:bCs/>
          <w:lang w:val="da-DK"/>
        </w:rPr>
        <w:t xml:space="preserve"> eller </w:t>
      </w:r>
      <w:proofErr w:type="spellStart"/>
      <w:r w:rsidR="00BE05B3" w:rsidRPr="008721E7">
        <w:rPr>
          <w:bCs/>
          <w:lang w:val="da-DK"/>
        </w:rPr>
        <w:t>Otrivin</w:t>
      </w:r>
      <w:proofErr w:type="spellEnd"/>
      <w:r w:rsidR="00BE05B3" w:rsidRPr="008721E7">
        <w:rPr>
          <w:bCs/>
          <w:lang w:val="da-DK"/>
        </w:rPr>
        <w:t xml:space="preserve"> x 3 dagligt</w:t>
      </w:r>
      <w:r w:rsidR="00C70A33" w:rsidRPr="008721E7">
        <w:rPr>
          <w:bCs/>
          <w:lang w:val="da-DK"/>
        </w:rPr>
        <w:t>.</w:t>
      </w:r>
    </w:p>
    <w:p w14:paraId="5AB01B5E" w14:textId="77777777" w:rsidR="00E65A5F" w:rsidRDefault="00E65A5F" w:rsidP="006B68C6">
      <w:pPr>
        <w:rPr>
          <w:b/>
          <w:lang w:val="da-DK"/>
        </w:rPr>
      </w:pPr>
    </w:p>
    <w:p w14:paraId="044FB8D1" w14:textId="1C7F4CC0" w:rsidR="006B68C6" w:rsidRPr="006B68C6" w:rsidRDefault="006B68C6" w:rsidP="006B68C6">
      <w:pPr>
        <w:rPr>
          <w:b/>
          <w:lang w:val="da-DK"/>
        </w:rPr>
      </w:pPr>
      <w:r w:rsidRPr="006B68C6">
        <w:rPr>
          <w:b/>
          <w:lang w:val="da-DK"/>
        </w:rPr>
        <w:t>Behandlingsvarighed</w:t>
      </w:r>
    </w:p>
    <w:p w14:paraId="696D66E3" w14:textId="03CC6219" w:rsidR="00EC4967" w:rsidRDefault="00B43042" w:rsidP="00EC4967">
      <w:pPr>
        <w:rPr>
          <w:lang w:val="da-DK"/>
        </w:rPr>
      </w:pPr>
      <w:r>
        <w:rPr>
          <w:lang w:val="da-DK"/>
        </w:rPr>
        <w:t xml:space="preserve">Kan tilpasses det kliniske forløb. Standard total varighed er 7-10 dage, men kan forlænges ved komplicerede forløb. Ved </w:t>
      </w:r>
      <w:proofErr w:type="spellStart"/>
      <w:r>
        <w:rPr>
          <w:lang w:val="da-DK"/>
        </w:rPr>
        <w:t>postseptal</w:t>
      </w:r>
      <w:proofErr w:type="spellEnd"/>
      <w:r>
        <w:rPr>
          <w:lang w:val="da-DK"/>
        </w:rPr>
        <w:t xml:space="preserve"> cellulitis gives IV de første dage, som regel indtil sikker klinisk bedring, hvorefter skift til peroral behandling kan overvejes. </w:t>
      </w:r>
    </w:p>
    <w:p w14:paraId="69F9644B" w14:textId="77777777" w:rsidR="00064A8A" w:rsidRDefault="00064A8A" w:rsidP="00EC4967">
      <w:pPr>
        <w:rPr>
          <w:lang w:val="da-DK"/>
        </w:rPr>
      </w:pPr>
    </w:p>
    <w:p w14:paraId="2510FE4A" w14:textId="63E57799" w:rsidR="00EC4967" w:rsidRPr="00C16671" w:rsidRDefault="00EC4967" w:rsidP="00E85F1A">
      <w:pPr>
        <w:tabs>
          <w:tab w:val="right" w:pos="9633"/>
        </w:tabs>
        <w:rPr>
          <w:b/>
          <w:lang w:val="da-DK"/>
        </w:rPr>
      </w:pPr>
      <w:r w:rsidRPr="00C16671">
        <w:rPr>
          <w:b/>
          <w:lang w:val="da-DK"/>
        </w:rPr>
        <w:t>Kirurgisk behandling:</w:t>
      </w:r>
      <w:r w:rsidR="008A5801">
        <w:rPr>
          <w:b/>
          <w:lang w:val="da-DK"/>
        </w:rPr>
        <w:tab/>
      </w:r>
    </w:p>
    <w:p w14:paraId="7AAC454F" w14:textId="166B8ED2" w:rsidR="00064A8A" w:rsidRPr="00B355A8" w:rsidRDefault="00B43042" w:rsidP="008F493F">
      <w:pPr>
        <w:rPr>
          <w:lang w:val="da-DK"/>
        </w:rPr>
      </w:pPr>
      <w:r>
        <w:rPr>
          <w:lang w:val="da-DK"/>
        </w:rPr>
        <w:t xml:space="preserve">Konfereres med ØNH-læger og øjenlæger. </w:t>
      </w:r>
      <w:r w:rsidR="00A24BAC">
        <w:rPr>
          <w:lang w:val="da-DK"/>
        </w:rPr>
        <w:t>Ved mistanke om truet syn (vurderet ved øjenlægerne) eller mistanke om orbital absces, skal patienten opereres akut (inden for 6 timer) ved ØNH</w:t>
      </w:r>
      <w:r w:rsidR="0095369E">
        <w:rPr>
          <w:lang w:val="da-DK"/>
        </w:rPr>
        <w:t>-</w:t>
      </w:r>
      <w:r w:rsidR="00A24BAC">
        <w:rPr>
          <w:lang w:val="da-DK"/>
        </w:rPr>
        <w:t>lægerne.</w:t>
      </w:r>
      <w:r w:rsidR="15A6C4B0" w:rsidRPr="5967AC15">
        <w:rPr>
          <w:lang w:val="da-DK"/>
        </w:rPr>
        <w:t xml:space="preserve"> </w:t>
      </w:r>
    </w:p>
    <w:p w14:paraId="6EDEA4D1" w14:textId="77777777" w:rsidR="008F493F" w:rsidRPr="00B355A8" w:rsidRDefault="008F493F" w:rsidP="008F493F">
      <w:pPr>
        <w:pStyle w:val="Overskrift2"/>
        <w:rPr>
          <w:lang w:val="da-DK"/>
        </w:rPr>
      </w:pPr>
      <w:bookmarkStart w:id="46" w:name="_Referencer"/>
      <w:bookmarkStart w:id="47" w:name="_Toc223506096"/>
      <w:bookmarkStart w:id="48" w:name="_Toc223506400"/>
      <w:bookmarkStart w:id="49" w:name="_Toc223506445"/>
      <w:bookmarkStart w:id="50" w:name="_Toc473054373"/>
      <w:bookmarkStart w:id="51" w:name="_Toc216974766"/>
      <w:bookmarkStart w:id="52" w:name="_Toc216975318"/>
      <w:bookmarkStart w:id="53" w:name="_Toc217021571"/>
      <w:bookmarkEnd w:id="46"/>
      <w:r w:rsidRPr="00B355A8">
        <w:rPr>
          <w:lang w:val="da-DK"/>
        </w:rPr>
        <w:t>Monitorering</w:t>
      </w:r>
      <w:bookmarkEnd w:id="47"/>
      <w:bookmarkEnd w:id="48"/>
      <w:bookmarkEnd w:id="49"/>
      <w:bookmarkEnd w:id="50"/>
    </w:p>
    <w:p w14:paraId="13A85DFF" w14:textId="737724BE" w:rsidR="00C16671" w:rsidRDefault="04606D26" w:rsidP="008F493F">
      <w:pPr>
        <w:rPr>
          <w:lang w:val="da-DK"/>
        </w:rPr>
      </w:pPr>
      <w:r w:rsidRPr="5967AC15">
        <w:rPr>
          <w:lang w:val="da-DK"/>
        </w:rPr>
        <w:t xml:space="preserve">Børn med </w:t>
      </w:r>
      <w:proofErr w:type="spellStart"/>
      <w:r w:rsidRPr="5967AC15">
        <w:rPr>
          <w:lang w:val="da-DK"/>
        </w:rPr>
        <w:t>pr</w:t>
      </w:r>
      <w:r w:rsidR="2BB0EE20" w:rsidRPr="5967AC15">
        <w:rPr>
          <w:lang w:val="da-DK"/>
        </w:rPr>
        <w:t>æ</w:t>
      </w:r>
      <w:r w:rsidRPr="5967AC15">
        <w:rPr>
          <w:lang w:val="da-DK"/>
        </w:rPr>
        <w:t>septal</w:t>
      </w:r>
      <w:proofErr w:type="spellEnd"/>
      <w:r w:rsidRPr="5967AC15">
        <w:rPr>
          <w:lang w:val="da-DK"/>
        </w:rPr>
        <w:t xml:space="preserve"> cellulitis kan opstartes i </w:t>
      </w:r>
      <w:proofErr w:type="gramStart"/>
      <w:r w:rsidRPr="5967AC15">
        <w:rPr>
          <w:lang w:val="da-DK"/>
        </w:rPr>
        <w:t>peroral</w:t>
      </w:r>
      <w:proofErr w:type="gramEnd"/>
      <w:r w:rsidRPr="5967AC15">
        <w:rPr>
          <w:lang w:val="da-DK"/>
        </w:rPr>
        <w:t xml:space="preserve"> antibiotika og hjemsende</w:t>
      </w:r>
      <w:r w:rsidR="5343BC8B" w:rsidRPr="5967AC15">
        <w:rPr>
          <w:lang w:val="da-DK"/>
        </w:rPr>
        <w:t>s</w:t>
      </w:r>
      <w:r w:rsidRPr="5967AC15">
        <w:rPr>
          <w:lang w:val="da-DK"/>
        </w:rPr>
        <w:t xml:space="preserve"> med god </w:t>
      </w:r>
      <w:r w:rsidR="02549341" w:rsidRPr="5967AC15">
        <w:rPr>
          <w:lang w:val="da-DK"/>
        </w:rPr>
        <w:t xml:space="preserve">information </w:t>
      </w:r>
      <w:r w:rsidRPr="5967AC15">
        <w:rPr>
          <w:lang w:val="da-DK"/>
        </w:rPr>
        <w:t xml:space="preserve">om advarselstegn samt ny henvendelse ved </w:t>
      </w:r>
      <w:r w:rsidR="00B43042">
        <w:rPr>
          <w:lang w:val="da-DK"/>
        </w:rPr>
        <w:t xml:space="preserve">kraftig forværring (især smerter og </w:t>
      </w:r>
      <w:proofErr w:type="spellStart"/>
      <w:r w:rsidR="00B43042">
        <w:rPr>
          <w:lang w:val="da-DK"/>
        </w:rPr>
        <w:t>højfebrilia</w:t>
      </w:r>
      <w:proofErr w:type="spellEnd"/>
      <w:r w:rsidR="00B43042">
        <w:rPr>
          <w:lang w:val="da-DK"/>
        </w:rPr>
        <w:t xml:space="preserve">) eller </w:t>
      </w:r>
      <w:r w:rsidRPr="5967AC15">
        <w:rPr>
          <w:lang w:val="da-DK"/>
        </w:rPr>
        <w:t>manglende bedring</w:t>
      </w:r>
      <w:r w:rsidR="006B67D9">
        <w:rPr>
          <w:lang w:val="da-DK"/>
        </w:rPr>
        <w:t xml:space="preserve"> (rødme, varme, hævelse)</w:t>
      </w:r>
      <w:r w:rsidRPr="5967AC15">
        <w:rPr>
          <w:lang w:val="da-DK"/>
        </w:rPr>
        <w:t xml:space="preserve"> indenfor 48-72 timer.</w:t>
      </w:r>
      <w:r w:rsidR="0095369E">
        <w:rPr>
          <w:lang w:val="da-DK"/>
        </w:rPr>
        <w:t xml:space="preserve"> </w:t>
      </w:r>
    </w:p>
    <w:p w14:paraId="51D3846E" w14:textId="57E3FF35" w:rsidR="008F493F" w:rsidRPr="00B355A8" w:rsidRDefault="00C16671" w:rsidP="008F493F">
      <w:pPr>
        <w:rPr>
          <w:lang w:val="da-DK"/>
        </w:rPr>
      </w:pPr>
      <w:r>
        <w:rPr>
          <w:lang w:val="da-DK"/>
        </w:rPr>
        <w:t xml:space="preserve">Børn med </w:t>
      </w:r>
      <w:proofErr w:type="spellStart"/>
      <w:r>
        <w:rPr>
          <w:lang w:val="da-DK"/>
        </w:rPr>
        <w:t>postseptal</w:t>
      </w:r>
      <w:proofErr w:type="spellEnd"/>
      <w:r>
        <w:rPr>
          <w:lang w:val="da-DK"/>
        </w:rPr>
        <w:t xml:space="preserve"> cellulitis monitoreres </w:t>
      </w:r>
      <w:r w:rsidR="006B67D9">
        <w:rPr>
          <w:lang w:val="da-DK"/>
        </w:rPr>
        <w:t xml:space="preserve">klinisk (normalisering af temperatur, hævelse, rødme, smerter ved øjenbevægelse) samt evt. </w:t>
      </w:r>
      <w:r>
        <w:rPr>
          <w:lang w:val="da-DK"/>
        </w:rPr>
        <w:t>med infektionsparametre (CRP</w:t>
      </w:r>
      <w:r w:rsidR="006B67D9">
        <w:rPr>
          <w:lang w:val="da-DK"/>
        </w:rPr>
        <w:t xml:space="preserve"> og</w:t>
      </w:r>
      <w:r>
        <w:rPr>
          <w:lang w:val="da-DK"/>
        </w:rPr>
        <w:t xml:space="preserve"> </w:t>
      </w:r>
      <w:r w:rsidR="0095369E">
        <w:rPr>
          <w:lang w:val="da-DK"/>
        </w:rPr>
        <w:t>leukocytter</w:t>
      </w:r>
      <w:r w:rsidR="006B67D9">
        <w:rPr>
          <w:lang w:val="da-DK"/>
        </w:rPr>
        <w:t>)</w:t>
      </w:r>
      <w:r>
        <w:rPr>
          <w:lang w:val="da-DK"/>
        </w:rPr>
        <w:t xml:space="preserve"> </w:t>
      </w:r>
    </w:p>
    <w:p w14:paraId="6871DCF3" w14:textId="123F77C6" w:rsidR="00B355A8" w:rsidRPr="00B355A8" w:rsidRDefault="00B355A8" w:rsidP="00B355A8">
      <w:pPr>
        <w:pStyle w:val="Overskrift2"/>
        <w:rPr>
          <w:lang w:val="da-DK"/>
        </w:rPr>
      </w:pPr>
      <w:bookmarkStart w:id="54" w:name="_Toc473054374"/>
      <w:bookmarkStart w:id="55" w:name="_Toc223506097"/>
      <w:bookmarkStart w:id="56" w:name="_Toc223506401"/>
      <w:bookmarkStart w:id="57" w:name="_Toc223506446"/>
      <w:r>
        <w:rPr>
          <w:lang w:val="da-DK"/>
        </w:rPr>
        <w:t>Diagnosekoder</w:t>
      </w:r>
      <w:bookmarkEnd w:id="54"/>
    </w:p>
    <w:p w14:paraId="04EB9D7B" w14:textId="4112FAC0" w:rsidR="00B355A8" w:rsidRDefault="00713303" w:rsidP="00B355A8">
      <w:pPr>
        <w:rPr>
          <w:lang w:val="da-DK"/>
        </w:rPr>
      </w:pPr>
      <w:r>
        <w:rPr>
          <w:lang w:val="da-DK"/>
        </w:rPr>
        <w:t xml:space="preserve">DH050B Cellulitis </w:t>
      </w:r>
      <w:proofErr w:type="spellStart"/>
      <w:r>
        <w:rPr>
          <w:lang w:val="da-DK"/>
        </w:rPr>
        <w:t>Orbitae</w:t>
      </w:r>
      <w:proofErr w:type="spellEnd"/>
    </w:p>
    <w:p w14:paraId="121DB29D" w14:textId="7CDEADBC" w:rsidR="00E85F1A" w:rsidRDefault="00E85F1A" w:rsidP="00B355A8">
      <w:pPr>
        <w:rPr>
          <w:lang w:val="da-DK"/>
        </w:rPr>
      </w:pPr>
      <w:r>
        <w:rPr>
          <w:lang w:val="da-DK"/>
        </w:rPr>
        <w:t xml:space="preserve">DH00D </w:t>
      </w:r>
      <w:proofErr w:type="spellStart"/>
      <w:r>
        <w:rPr>
          <w:lang w:val="da-DK"/>
        </w:rPr>
        <w:t>Flegmone</w:t>
      </w:r>
      <w:proofErr w:type="spellEnd"/>
      <w:r>
        <w:rPr>
          <w:lang w:val="da-DK"/>
        </w:rPr>
        <w:t xml:space="preserve"> i øjenlåget</w:t>
      </w:r>
    </w:p>
    <w:p w14:paraId="3C458776" w14:textId="1E2E21A4" w:rsidR="00064A8A" w:rsidRPr="00CA2D36" w:rsidRDefault="00E85F1A" w:rsidP="00B355A8">
      <w:r w:rsidRPr="00CA2D36">
        <w:t xml:space="preserve">DH050E </w:t>
      </w:r>
      <w:proofErr w:type="spellStart"/>
      <w:r w:rsidRPr="00CA2D36">
        <w:t>Flegmone</w:t>
      </w:r>
      <w:proofErr w:type="spellEnd"/>
      <w:r w:rsidRPr="00CA2D36">
        <w:t xml:space="preserve"> </w:t>
      </w:r>
      <w:proofErr w:type="spellStart"/>
      <w:r w:rsidRPr="00CA2D36">
        <w:t>i</w:t>
      </w:r>
      <w:proofErr w:type="spellEnd"/>
      <w:r w:rsidRPr="00CA2D36">
        <w:t xml:space="preserve"> </w:t>
      </w:r>
      <w:proofErr w:type="spellStart"/>
      <w:r w:rsidRPr="00CA2D36">
        <w:t>øjenhulen</w:t>
      </w:r>
      <w:proofErr w:type="spellEnd"/>
    </w:p>
    <w:p w14:paraId="3DEBE85A" w14:textId="1E3D99E4" w:rsidR="00064A8A" w:rsidRPr="00CA2D36" w:rsidRDefault="008F493F" w:rsidP="00064A8A">
      <w:pPr>
        <w:pStyle w:val="Overskrift2"/>
      </w:pPr>
      <w:bookmarkStart w:id="58" w:name="_Toc473054375"/>
      <w:proofErr w:type="spellStart"/>
      <w:r w:rsidRPr="00CA2D36">
        <w:t>Referencer</w:t>
      </w:r>
      <w:bookmarkEnd w:id="51"/>
      <w:bookmarkEnd w:id="52"/>
      <w:bookmarkEnd w:id="53"/>
      <w:bookmarkEnd w:id="55"/>
      <w:bookmarkEnd w:id="56"/>
      <w:bookmarkEnd w:id="57"/>
      <w:bookmarkEnd w:id="58"/>
      <w:proofErr w:type="spellEnd"/>
      <w:r w:rsidRPr="00CA2D36">
        <w:t xml:space="preserve"> </w:t>
      </w:r>
    </w:p>
    <w:p w14:paraId="486EB0FB" w14:textId="77777777" w:rsidR="0009452C" w:rsidRPr="0009452C" w:rsidRDefault="0009452C" w:rsidP="0009452C">
      <w:pPr>
        <w:pStyle w:val="NormalWeb"/>
        <w:ind w:left="640" w:hanging="640"/>
        <w:rPr>
          <w:rFonts w:ascii="Times New Roman" w:hAnsi="Times New Roman"/>
          <w:sz w:val="24"/>
          <w:szCs w:val="24"/>
        </w:rPr>
      </w:pPr>
      <w:r w:rsidRPr="0009452C">
        <w:rPr>
          <w:rFonts w:ascii="Times New Roman" w:hAnsi="Times New Roman"/>
          <w:sz w:val="24"/>
          <w:szCs w:val="24"/>
        </w:rPr>
        <w:t>[1]</w:t>
      </w:r>
      <w:r w:rsidRPr="0009452C">
        <w:rPr>
          <w:rFonts w:ascii="Times New Roman" w:hAnsi="Times New Roman"/>
          <w:sz w:val="24"/>
          <w:szCs w:val="24"/>
        </w:rPr>
        <w:tab/>
        <w:t xml:space="preserve">Adamson J, Waterfield T. Fifteen-minute consultation: </w:t>
      </w:r>
      <w:proofErr w:type="spellStart"/>
      <w:r w:rsidRPr="0009452C">
        <w:rPr>
          <w:rFonts w:ascii="Times New Roman" w:hAnsi="Times New Roman"/>
          <w:sz w:val="24"/>
          <w:szCs w:val="24"/>
        </w:rPr>
        <w:t>Preseptal</w:t>
      </w:r>
      <w:proofErr w:type="spellEnd"/>
      <w:r w:rsidRPr="0009452C">
        <w:rPr>
          <w:rFonts w:ascii="Times New Roman" w:hAnsi="Times New Roman"/>
          <w:sz w:val="24"/>
          <w:szCs w:val="24"/>
        </w:rPr>
        <w:t xml:space="preserve"> and orbital cellulitis. Arch Dis Child Educ </w:t>
      </w:r>
      <w:proofErr w:type="spellStart"/>
      <w:r w:rsidRPr="0009452C">
        <w:rPr>
          <w:rFonts w:ascii="Times New Roman" w:hAnsi="Times New Roman"/>
          <w:sz w:val="24"/>
          <w:szCs w:val="24"/>
        </w:rPr>
        <w:t>Pract</w:t>
      </w:r>
      <w:proofErr w:type="spellEnd"/>
      <w:r w:rsidRPr="0009452C">
        <w:rPr>
          <w:rFonts w:ascii="Times New Roman" w:hAnsi="Times New Roman"/>
          <w:sz w:val="24"/>
          <w:szCs w:val="24"/>
        </w:rPr>
        <w:t xml:space="preserve"> Ed </w:t>
      </w:r>
      <w:proofErr w:type="gramStart"/>
      <w:r w:rsidRPr="0009452C">
        <w:rPr>
          <w:rFonts w:ascii="Times New Roman" w:hAnsi="Times New Roman"/>
          <w:sz w:val="24"/>
          <w:szCs w:val="24"/>
        </w:rPr>
        <w:t>2019;104:79</w:t>
      </w:r>
      <w:proofErr w:type="gramEnd"/>
      <w:r w:rsidRPr="0009452C">
        <w:rPr>
          <w:rFonts w:ascii="Times New Roman" w:hAnsi="Times New Roman"/>
          <w:sz w:val="24"/>
          <w:szCs w:val="24"/>
        </w:rPr>
        <w:t>–83. doi:10.1136/archdischild-2017-314297.</w:t>
      </w:r>
    </w:p>
    <w:p w14:paraId="59886D3E" w14:textId="77777777" w:rsidR="0009452C" w:rsidRPr="0009452C" w:rsidRDefault="0009452C" w:rsidP="0009452C">
      <w:pPr>
        <w:pStyle w:val="NormalWeb"/>
        <w:ind w:left="640" w:hanging="640"/>
        <w:rPr>
          <w:rFonts w:ascii="Times New Roman" w:hAnsi="Times New Roman"/>
          <w:sz w:val="24"/>
          <w:szCs w:val="24"/>
        </w:rPr>
      </w:pPr>
      <w:r w:rsidRPr="0009452C">
        <w:rPr>
          <w:rFonts w:ascii="Times New Roman" w:hAnsi="Times New Roman"/>
          <w:sz w:val="24"/>
          <w:szCs w:val="24"/>
        </w:rPr>
        <w:t>[2]</w:t>
      </w:r>
      <w:r w:rsidRPr="0009452C">
        <w:rPr>
          <w:rFonts w:ascii="Times New Roman" w:hAnsi="Times New Roman"/>
          <w:sz w:val="24"/>
          <w:szCs w:val="24"/>
        </w:rPr>
        <w:tab/>
        <w:t>Ibrahim LF, Hopper SM, Orsini F, Daley AJ, Babl FE, Bryant PA. Efficacy and safety of intravenous ceftriaxone at home versus intravenous flucloxacillin in hospital for children with cellulitis (CHOICE): a single-</w:t>
      </w:r>
      <w:proofErr w:type="spellStart"/>
      <w:r w:rsidRPr="0009452C">
        <w:rPr>
          <w:rFonts w:ascii="Times New Roman" w:hAnsi="Times New Roman"/>
          <w:sz w:val="24"/>
          <w:szCs w:val="24"/>
        </w:rPr>
        <w:t>centre</w:t>
      </w:r>
      <w:proofErr w:type="spellEnd"/>
      <w:r w:rsidRPr="0009452C">
        <w:rPr>
          <w:rFonts w:ascii="Times New Roman" w:hAnsi="Times New Roman"/>
          <w:sz w:val="24"/>
          <w:szCs w:val="24"/>
        </w:rPr>
        <w:t xml:space="preserve">, open-label, </w:t>
      </w:r>
      <w:proofErr w:type="spellStart"/>
      <w:r w:rsidRPr="0009452C">
        <w:rPr>
          <w:rFonts w:ascii="Times New Roman" w:hAnsi="Times New Roman"/>
          <w:sz w:val="24"/>
          <w:szCs w:val="24"/>
        </w:rPr>
        <w:t>randomised</w:t>
      </w:r>
      <w:proofErr w:type="spellEnd"/>
      <w:r w:rsidRPr="0009452C">
        <w:rPr>
          <w:rFonts w:ascii="Times New Roman" w:hAnsi="Times New Roman"/>
          <w:sz w:val="24"/>
          <w:szCs w:val="24"/>
        </w:rPr>
        <w:t xml:space="preserve">, controlled, non-inferiority trial. Lancet Infect Dis </w:t>
      </w:r>
      <w:proofErr w:type="gramStart"/>
      <w:r w:rsidRPr="0009452C">
        <w:rPr>
          <w:rFonts w:ascii="Times New Roman" w:hAnsi="Times New Roman"/>
          <w:sz w:val="24"/>
          <w:szCs w:val="24"/>
        </w:rPr>
        <w:t>2019;19:477</w:t>
      </w:r>
      <w:proofErr w:type="gramEnd"/>
      <w:r w:rsidRPr="0009452C">
        <w:rPr>
          <w:rFonts w:ascii="Times New Roman" w:hAnsi="Times New Roman"/>
          <w:sz w:val="24"/>
          <w:szCs w:val="24"/>
        </w:rPr>
        <w:t>–86. doi:10.1016/S1473-3099(18)30729-1.</w:t>
      </w:r>
    </w:p>
    <w:p w14:paraId="366E68C2" w14:textId="74627B65" w:rsidR="5967AC15" w:rsidRDefault="3996981D" w:rsidP="00257A0B">
      <w:pPr>
        <w:pStyle w:val="NormalWeb"/>
        <w:ind w:left="640" w:hanging="640"/>
        <w:rPr>
          <w:rFonts w:ascii="Times New Roman" w:hAnsi="Times New Roman"/>
          <w:sz w:val="24"/>
          <w:szCs w:val="24"/>
        </w:rPr>
      </w:pPr>
      <w:r w:rsidRPr="5967AC15">
        <w:rPr>
          <w:rFonts w:ascii="Times New Roman" w:hAnsi="Times New Roman"/>
          <w:sz w:val="24"/>
          <w:szCs w:val="24"/>
        </w:rPr>
        <w:t>[3]</w:t>
      </w:r>
      <w:r w:rsidR="0009452C">
        <w:tab/>
      </w:r>
      <w:proofErr w:type="spellStart"/>
      <w:r w:rsidRPr="5967AC15">
        <w:rPr>
          <w:rFonts w:ascii="Times New Roman" w:hAnsi="Times New Roman"/>
          <w:sz w:val="24"/>
          <w:szCs w:val="24"/>
        </w:rPr>
        <w:t>Stimes</w:t>
      </w:r>
      <w:proofErr w:type="spellEnd"/>
      <w:r w:rsidRPr="5967AC15">
        <w:rPr>
          <w:rFonts w:ascii="Times New Roman" w:hAnsi="Times New Roman"/>
          <w:sz w:val="24"/>
          <w:szCs w:val="24"/>
        </w:rPr>
        <w:t xml:space="preserve"> GT, </w:t>
      </w:r>
      <w:proofErr w:type="spellStart"/>
      <w:r w:rsidRPr="5967AC15">
        <w:rPr>
          <w:rFonts w:ascii="Times New Roman" w:hAnsi="Times New Roman"/>
          <w:sz w:val="24"/>
          <w:szCs w:val="24"/>
        </w:rPr>
        <w:t>Girotto</w:t>
      </w:r>
      <w:proofErr w:type="spellEnd"/>
      <w:r w:rsidRPr="5967AC15">
        <w:rPr>
          <w:rFonts w:ascii="Times New Roman" w:hAnsi="Times New Roman"/>
          <w:sz w:val="24"/>
          <w:szCs w:val="24"/>
        </w:rPr>
        <w:t xml:space="preserve"> JE. Applying Pharmacodynamics and Antimicrobial Stewardship to Pediatric </w:t>
      </w:r>
      <w:proofErr w:type="spellStart"/>
      <w:r w:rsidRPr="5967AC15">
        <w:rPr>
          <w:rFonts w:ascii="Times New Roman" w:hAnsi="Times New Roman"/>
          <w:sz w:val="24"/>
          <w:szCs w:val="24"/>
        </w:rPr>
        <w:t>Preseptal</w:t>
      </w:r>
      <w:proofErr w:type="spellEnd"/>
      <w:r w:rsidRPr="5967AC15">
        <w:rPr>
          <w:rFonts w:ascii="Times New Roman" w:hAnsi="Times New Roman"/>
          <w:sz w:val="24"/>
          <w:szCs w:val="24"/>
        </w:rPr>
        <w:t xml:space="preserve"> and Orbital Cellulitis. </w:t>
      </w:r>
      <w:proofErr w:type="spellStart"/>
      <w:r w:rsidRPr="5967AC15">
        <w:rPr>
          <w:rFonts w:ascii="Times New Roman" w:hAnsi="Times New Roman"/>
          <w:sz w:val="24"/>
          <w:szCs w:val="24"/>
        </w:rPr>
        <w:t>Paediatr</w:t>
      </w:r>
      <w:proofErr w:type="spellEnd"/>
      <w:r w:rsidRPr="5967AC15">
        <w:rPr>
          <w:rFonts w:ascii="Times New Roman" w:hAnsi="Times New Roman"/>
          <w:sz w:val="24"/>
          <w:szCs w:val="24"/>
        </w:rPr>
        <w:t xml:space="preserve"> Drugs </w:t>
      </w:r>
      <w:proofErr w:type="gramStart"/>
      <w:r w:rsidRPr="5967AC15">
        <w:rPr>
          <w:rFonts w:ascii="Times New Roman" w:hAnsi="Times New Roman"/>
          <w:sz w:val="24"/>
          <w:szCs w:val="24"/>
        </w:rPr>
        <w:t>2019;21:427</w:t>
      </w:r>
      <w:proofErr w:type="gramEnd"/>
      <w:r w:rsidRPr="5967AC15">
        <w:rPr>
          <w:rFonts w:ascii="Times New Roman" w:hAnsi="Times New Roman"/>
          <w:sz w:val="24"/>
          <w:szCs w:val="24"/>
        </w:rPr>
        <w:t>–38. doi:10.1007/s40272-019-00357-3.</w:t>
      </w:r>
    </w:p>
    <w:p w14:paraId="5EC351D9" w14:textId="396449E3" w:rsidR="004174C0" w:rsidRDefault="52C5449F" w:rsidP="0009452C">
      <w:hyperlink r:id="rId8">
        <w:r w:rsidRPr="5967AC15">
          <w:rPr>
            <w:rStyle w:val="Hyperlink"/>
          </w:rPr>
          <w:t>https://pro.medicin.dk/Sygdomme/Sygdom/318235</w:t>
        </w:r>
      </w:hyperlink>
    </w:p>
    <w:p w14:paraId="21240B21" w14:textId="7021BB6E" w:rsidR="004174C0" w:rsidRPr="00AD4AAD" w:rsidRDefault="52C5449F" w:rsidP="008F493F">
      <w:hyperlink r:id="rId9">
        <w:r w:rsidRPr="5967AC15">
          <w:rPr>
            <w:rStyle w:val="Hyperlink"/>
          </w:rPr>
          <w:t>https://www.uptodate.com</w:t>
        </w:r>
      </w:hyperlink>
    </w:p>
    <w:p w14:paraId="5F76F1CD" w14:textId="77777777" w:rsidR="008F493F" w:rsidRPr="00CA2D36" w:rsidRDefault="008F493F" w:rsidP="008F493F">
      <w:pPr>
        <w:pStyle w:val="Overskrift2"/>
      </w:pPr>
      <w:bookmarkStart w:id="59" w:name="_Toc216974767"/>
      <w:bookmarkStart w:id="60" w:name="_Toc216975319"/>
      <w:bookmarkStart w:id="61" w:name="_Toc217021572"/>
      <w:bookmarkStart w:id="62" w:name="_Toc223506098"/>
      <w:bookmarkStart w:id="63" w:name="_Toc223506402"/>
      <w:bookmarkStart w:id="64" w:name="_Toc223506447"/>
      <w:bookmarkStart w:id="65" w:name="_Toc473054376"/>
      <w:proofErr w:type="spellStart"/>
      <w:r w:rsidRPr="00CA2D36">
        <w:t>Interessekonflikter</w:t>
      </w:r>
      <w:bookmarkEnd w:id="59"/>
      <w:bookmarkEnd w:id="60"/>
      <w:bookmarkEnd w:id="61"/>
      <w:bookmarkEnd w:id="62"/>
      <w:bookmarkEnd w:id="63"/>
      <w:bookmarkEnd w:id="64"/>
      <w:bookmarkEnd w:id="65"/>
      <w:proofErr w:type="spellEnd"/>
    </w:p>
    <w:p w14:paraId="074A7652" w14:textId="6ACD4A0C" w:rsidR="008F493F" w:rsidRPr="00CA2D36" w:rsidRDefault="0096560F" w:rsidP="008F493F">
      <w:r w:rsidRPr="00CA2D36">
        <w:t>Ingen</w:t>
      </w:r>
    </w:p>
    <w:p w14:paraId="4EA9E3A8" w14:textId="77777777" w:rsidR="008F493F" w:rsidRPr="00760E40" w:rsidRDefault="008F493F" w:rsidP="008F493F">
      <w:pPr>
        <w:pStyle w:val="Overskrift2"/>
        <w:rPr>
          <w:lang w:val="da-DK"/>
        </w:rPr>
      </w:pPr>
      <w:bookmarkStart w:id="66" w:name="_Evt._Appendiks:"/>
      <w:bookmarkStart w:id="67" w:name="_Toc216974768"/>
      <w:bookmarkStart w:id="68" w:name="_Toc216975320"/>
      <w:bookmarkStart w:id="69" w:name="_Toc217021573"/>
      <w:bookmarkStart w:id="70" w:name="_Toc223506099"/>
      <w:bookmarkStart w:id="71" w:name="_Toc223506403"/>
      <w:bookmarkStart w:id="72" w:name="_Toc223506448"/>
      <w:bookmarkStart w:id="73" w:name="_Toc473054377"/>
      <w:bookmarkEnd w:id="66"/>
      <w:r w:rsidRPr="00760E40">
        <w:rPr>
          <w:lang w:val="da-DK"/>
        </w:rPr>
        <w:t>Appendiks</w:t>
      </w:r>
      <w:bookmarkEnd w:id="67"/>
      <w:bookmarkEnd w:id="68"/>
      <w:bookmarkEnd w:id="69"/>
      <w:bookmarkEnd w:id="70"/>
      <w:bookmarkEnd w:id="71"/>
      <w:bookmarkEnd w:id="72"/>
      <w:bookmarkEnd w:id="73"/>
    </w:p>
    <w:p w14:paraId="01AD5C60" w14:textId="7A1EDC37" w:rsidR="008F493F" w:rsidRPr="00760E40" w:rsidRDefault="0096560F" w:rsidP="008F493F">
      <w:pPr>
        <w:rPr>
          <w:lang w:val="da-DK"/>
        </w:rPr>
      </w:pPr>
      <w:r w:rsidRPr="00760E40">
        <w:rPr>
          <w:lang w:val="da-DK"/>
        </w:rPr>
        <w:t>Ingen</w:t>
      </w:r>
    </w:p>
    <w:p w14:paraId="0B5E95EB" w14:textId="77777777" w:rsidR="008A17D1" w:rsidRPr="00760E40" w:rsidRDefault="008A17D1" w:rsidP="008F493F">
      <w:pPr>
        <w:rPr>
          <w:lang w:val="da-DK"/>
        </w:rPr>
      </w:pPr>
    </w:p>
    <w:sectPr w:rsidR="008A17D1" w:rsidRPr="00760E40" w:rsidSect="00DD212B">
      <w:headerReference w:type="default" r:id="rId10"/>
      <w:footerReference w:type="default" r:id="rId11"/>
      <w:headerReference w:type="first" r:id="rId12"/>
      <w:footerReference w:type="first" r:id="rId13"/>
      <w:pgSz w:w="11901" w:h="16817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52E6E" w14:textId="77777777" w:rsidR="00544883" w:rsidRDefault="00544883">
      <w:r>
        <w:separator/>
      </w:r>
    </w:p>
  </w:endnote>
  <w:endnote w:type="continuationSeparator" w:id="0">
    <w:p w14:paraId="12921B71" w14:textId="77777777" w:rsidR="00544883" w:rsidRDefault="0054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DF65" w14:textId="1820C6DB" w:rsidR="00F72F0B" w:rsidRPr="00B355A8" w:rsidRDefault="5967AC15">
    <w:pPr>
      <w:pStyle w:val="Sidefod"/>
      <w:rPr>
        <w:sz w:val="20"/>
        <w:szCs w:val="20"/>
        <w:lang w:val="da-DK"/>
      </w:rPr>
    </w:pPr>
    <w:r w:rsidRPr="5967AC15">
      <w:rPr>
        <w:sz w:val="20"/>
        <w:szCs w:val="20"/>
        <w:lang w:val="da-DK"/>
      </w:rPr>
      <w:t>Godkendelsesdato: Skriv dato her</w:t>
    </w:r>
    <w:r w:rsidR="00F72F0B" w:rsidRPr="00CA2D36">
      <w:rPr>
        <w:lang w:val="da-DK"/>
      </w:rPr>
      <w:tab/>
    </w:r>
    <w:r w:rsidRPr="5967AC15">
      <w:rPr>
        <w:sz w:val="20"/>
        <w:szCs w:val="20"/>
        <w:lang w:val="da-DK"/>
      </w:rPr>
      <w:t xml:space="preserve">                                                                                                           Side </w:t>
    </w:r>
    <w:r w:rsidR="00F72F0B" w:rsidRPr="5967AC15">
      <w:rPr>
        <w:sz w:val="20"/>
        <w:szCs w:val="20"/>
        <w:lang w:val="da-DK"/>
      </w:rPr>
      <w:fldChar w:fldCharType="begin"/>
    </w:r>
    <w:r w:rsidR="00F72F0B" w:rsidRPr="5967AC15">
      <w:rPr>
        <w:sz w:val="20"/>
        <w:szCs w:val="20"/>
        <w:lang w:val="da-DK"/>
      </w:rPr>
      <w:instrText xml:space="preserve"> PAGE </w:instrText>
    </w:r>
    <w:r w:rsidR="00F72F0B" w:rsidRPr="5967AC15">
      <w:rPr>
        <w:sz w:val="20"/>
        <w:szCs w:val="20"/>
      </w:rPr>
      <w:fldChar w:fldCharType="separate"/>
    </w:r>
    <w:r w:rsidRPr="5967AC15">
      <w:rPr>
        <w:sz w:val="20"/>
        <w:szCs w:val="20"/>
        <w:lang w:val="da-DK"/>
      </w:rPr>
      <w:t>4</w:t>
    </w:r>
    <w:r w:rsidR="00F72F0B" w:rsidRPr="5967AC15">
      <w:rPr>
        <w:sz w:val="20"/>
        <w:szCs w:val="20"/>
        <w:lang w:val="da-DK"/>
      </w:rPr>
      <w:fldChar w:fldCharType="end"/>
    </w:r>
    <w:r w:rsidRPr="5967AC15">
      <w:rPr>
        <w:sz w:val="20"/>
        <w:szCs w:val="20"/>
        <w:lang w:val="da-DK"/>
      </w:rPr>
      <w:t xml:space="preserve"> af </w:t>
    </w:r>
    <w:r w:rsidR="00F72F0B" w:rsidRPr="5967AC15">
      <w:rPr>
        <w:sz w:val="20"/>
        <w:szCs w:val="20"/>
        <w:lang w:val="da-DK"/>
      </w:rPr>
      <w:fldChar w:fldCharType="begin"/>
    </w:r>
    <w:r w:rsidR="00F72F0B" w:rsidRPr="5967AC15">
      <w:rPr>
        <w:sz w:val="20"/>
        <w:szCs w:val="20"/>
        <w:lang w:val="da-DK"/>
      </w:rPr>
      <w:instrText xml:space="preserve"> NUMPAGES </w:instrText>
    </w:r>
    <w:r w:rsidR="00F72F0B" w:rsidRPr="5967AC15">
      <w:rPr>
        <w:sz w:val="20"/>
        <w:szCs w:val="20"/>
      </w:rPr>
      <w:fldChar w:fldCharType="separate"/>
    </w:r>
    <w:r w:rsidRPr="5967AC15">
      <w:rPr>
        <w:sz w:val="20"/>
        <w:szCs w:val="20"/>
        <w:lang w:val="da-DK"/>
      </w:rPr>
      <w:t>4</w:t>
    </w:r>
    <w:r w:rsidR="00F72F0B" w:rsidRPr="5967AC15">
      <w:rPr>
        <w:sz w:val="20"/>
        <w:szCs w:val="20"/>
        <w:lang w:val="da-D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4851" w14:textId="64B266DF" w:rsidR="00F72F0B" w:rsidRPr="00B355A8" w:rsidRDefault="00F72F0B">
    <w:pPr>
      <w:pStyle w:val="Sidefod"/>
      <w:rPr>
        <w:sz w:val="20"/>
        <w:szCs w:val="20"/>
        <w:lang w:val="da-DK"/>
      </w:rPr>
    </w:pPr>
    <w:r w:rsidRPr="00B355A8">
      <w:rPr>
        <w:sz w:val="20"/>
        <w:szCs w:val="20"/>
        <w:lang w:val="da-DK"/>
      </w:rPr>
      <w:t>Godkendelsesdato: Skriv dato her</w:t>
    </w:r>
    <w:r w:rsidRPr="00B355A8">
      <w:rPr>
        <w:sz w:val="20"/>
        <w:szCs w:val="20"/>
        <w:lang w:val="da-DK"/>
      </w:rPr>
      <w:tab/>
    </w:r>
    <w:r w:rsidRPr="00B355A8">
      <w:rPr>
        <w:sz w:val="20"/>
        <w:szCs w:val="20"/>
        <w:lang w:val="da-DK"/>
      </w:rPr>
      <w:tab/>
      <w:t xml:space="preserve">Side </w:t>
    </w:r>
    <w:r w:rsidRPr="00DB3152">
      <w:rPr>
        <w:sz w:val="20"/>
        <w:szCs w:val="20"/>
      </w:rPr>
      <w:fldChar w:fldCharType="begin"/>
    </w:r>
    <w:r w:rsidRPr="00B355A8">
      <w:rPr>
        <w:sz w:val="20"/>
        <w:szCs w:val="20"/>
        <w:lang w:val="da-DK"/>
      </w:rPr>
      <w:instrText xml:space="preserve"> PAGE </w:instrText>
    </w:r>
    <w:r w:rsidRPr="00DB3152">
      <w:rPr>
        <w:sz w:val="20"/>
        <w:szCs w:val="20"/>
      </w:rPr>
      <w:fldChar w:fldCharType="separate"/>
    </w:r>
    <w:r>
      <w:rPr>
        <w:sz w:val="20"/>
        <w:szCs w:val="20"/>
        <w:lang w:val="da-DK"/>
      </w:rPr>
      <w:t>1</w:t>
    </w:r>
    <w:r w:rsidRPr="00DB3152">
      <w:rPr>
        <w:sz w:val="20"/>
        <w:szCs w:val="20"/>
      </w:rPr>
      <w:fldChar w:fldCharType="end"/>
    </w:r>
    <w:r w:rsidRPr="00B355A8">
      <w:rPr>
        <w:sz w:val="20"/>
        <w:szCs w:val="20"/>
        <w:lang w:val="da-DK"/>
      </w:rPr>
      <w:t xml:space="preserve"> af </w:t>
    </w:r>
    <w:r w:rsidRPr="00DB3152">
      <w:rPr>
        <w:sz w:val="20"/>
        <w:szCs w:val="20"/>
      </w:rPr>
      <w:fldChar w:fldCharType="begin"/>
    </w:r>
    <w:r w:rsidRPr="00B355A8">
      <w:rPr>
        <w:sz w:val="20"/>
        <w:szCs w:val="20"/>
        <w:lang w:val="da-DK"/>
      </w:rPr>
      <w:instrText xml:space="preserve"> NUMPAGES </w:instrText>
    </w:r>
    <w:r w:rsidRPr="00DB3152">
      <w:rPr>
        <w:sz w:val="20"/>
        <w:szCs w:val="20"/>
      </w:rPr>
      <w:fldChar w:fldCharType="separate"/>
    </w:r>
    <w:r>
      <w:rPr>
        <w:sz w:val="20"/>
        <w:szCs w:val="20"/>
        <w:lang w:val="da-DK"/>
      </w:rPr>
      <w:t>4</w:t>
    </w:r>
    <w:r w:rsidRPr="00DB315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6FBC4" w14:textId="77777777" w:rsidR="00544883" w:rsidRDefault="00544883">
      <w:r>
        <w:separator/>
      </w:r>
    </w:p>
  </w:footnote>
  <w:footnote w:type="continuationSeparator" w:id="0">
    <w:p w14:paraId="6A678834" w14:textId="77777777" w:rsidR="00544883" w:rsidRDefault="00544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87D57" w14:textId="77777777" w:rsidR="001E0C78" w:rsidRDefault="001E0C78" w:rsidP="5967AC15">
    <w:pPr>
      <w:pStyle w:val="Sidehoved"/>
      <w:rPr>
        <w:sz w:val="20"/>
        <w:szCs w:val="20"/>
        <w:lang w:val="da-DK"/>
      </w:rPr>
    </w:pPr>
  </w:p>
  <w:p w14:paraId="11F89D78" w14:textId="21810F3D" w:rsidR="001E0C78" w:rsidRDefault="00F72F0B" w:rsidP="5967AC15">
    <w:pPr>
      <w:pStyle w:val="Sidehoved"/>
      <w:rPr>
        <w:sz w:val="20"/>
        <w:szCs w:val="20"/>
        <w:lang w:val="da-DK"/>
      </w:rPr>
    </w:pPr>
    <w:r w:rsidRPr="00F83277">
      <w:rPr>
        <w:noProof/>
        <w:sz w:val="20"/>
        <w:szCs w:val="20"/>
        <w:lang w:eastAsia="da-DK"/>
      </w:rPr>
      <w:drawing>
        <wp:anchor distT="0" distB="0" distL="114300" distR="114300" simplePos="0" relativeHeight="251658240" behindDoc="0" locked="0" layoutInCell="1" allowOverlap="1" wp14:anchorId="2D66EAE6" wp14:editId="5F622D88">
          <wp:simplePos x="0" y="0"/>
          <wp:positionH relativeFrom="page">
            <wp:posOffset>3848735</wp:posOffset>
          </wp:positionH>
          <wp:positionV relativeFrom="page">
            <wp:posOffset>140335</wp:posOffset>
          </wp:positionV>
          <wp:extent cx="3393440" cy="741045"/>
          <wp:effectExtent l="0" t="0" r="10160" b="0"/>
          <wp:wrapTight wrapText="bothSides">
            <wp:wrapPolygon edited="0">
              <wp:start x="0" y="0"/>
              <wp:lineTo x="0" y="20730"/>
              <wp:lineTo x="21503" y="20730"/>
              <wp:lineTo x="21503" y="0"/>
              <wp:lineTo x="0" y="0"/>
            </wp:wrapPolygon>
          </wp:wrapTight>
          <wp:docPr id="11" name="Picture 11" descr="DPSnavn-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PSnavn-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44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967AC15" w:rsidRPr="5967AC15">
      <w:rPr>
        <w:sz w:val="20"/>
        <w:szCs w:val="20"/>
        <w:lang w:val="da-DK"/>
      </w:rPr>
      <w:t xml:space="preserve">Præ- og </w:t>
    </w:r>
    <w:proofErr w:type="spellStart"/>
    <w:r w:rsidR="5967AC15" w:rsidRPr="5967AC15">
      <w:rPr>
        <w:sz w:val="20"/>
        <w:szCs w:val="20"/>
        <w:lang w:val="da-DK"/>
      </w:rPr>
      <w:t>postseptal</w:t>
    </w:r>
    <w:proofErr w:type="spellEnd"/>
    <w:r w:rsidR="5967AC15" w:rsidRPr="5967AC15">
      <w:rPr>
        <w:sz w:val="20"/>
        <w:szCs w:val="20"/>
        <w:lang w:val="da-DK"/>
      </w:rPr>
      <w:t xml:space="preserve"> cellulitis hos børn og unge</w:t>
    </w:r>
  </w:p>
  <w:p w14:paraId="421AED7C" w14:textId="77777777" w:rsidR="001E0C78" w:rsidRPr="00F83277" w:rsidRDefault="001E0C78" w:rsidP="5967AC15">
    <w:pPr>
      <w:pStyle w:val="Sidehoved"/>
      <w:rPr>
        <w:sz w:val="20"/>
        <w:szCs w:val="20"/>
        <w:lang w:val="da-DK"/>
      </w:rPr>
    </w:pPr>
  </w:p>
  <w:p w14:paraId="648BD1B5" w14:textId="77777777" w:rsidR="00F72F0B" w:rsidRPr="00CA2D36" w:rsidRDefault="00F72F0B">
    <w:pPr>
      <w:pStyle w:val="Sidehoved"/>
      <w:rPr>
        <w:i/>
        <w:sz w:val="20"/>
        <w:szCs w:val="20"/>
        <w:lang w:val="da-D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0" w:type="auto"/>
      <w:tblLook w:val="04A0" w:firstRow="1" w:lastRow="0" w:firstColumn="1" w:lastColumn="0" w:noHBand="0" w:noVBand="1"/>
    </w:tblPr>
    <w:tblGrid>
      <w:gridCol w:w="3186"/>
      <w:gridCol w:w="6437"/>
    </w:tblGrid>
    <w:tr w:rsidR="00F72F0B" w:rsidRPr="00DD212B" w14:paraId="71C09B32" w14:textId="77777777" w:rsidTr="5967AC15">
      <w:tc>
        <w:tcPr>
          <w:tcW w:w="9849" w:type="dxa"/>
          <w:gridSpan w:val="2"/>
        </w:tcPr>
        <w:p w14:paraId="27C2A855" w14:textId="45D70B46" w:rsidR="00F72F0B" w:rsidRPr="00DD212B" w:rsidRDefault="5967AC15" w:rsidP="5967AC15">
          <w:pPr>
            <w:pStyle w:val="Sidehoved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424E66E" wp14:editId="7887799E">
                <wp:extent cx="3393440" cy="577438"/>
                <wp:effectExtent l="0" t="0" r="0" b="0"/>
                <wp:docPr id="12" name="Picture 12" descr="DPSnavn-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PSnavn-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3440" cy="577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F72F0B" w:rsidRPr="00B25532" w14:paraId="61983B88" w14:textId="77777777" w:rsidTr="5967AC15">
      <w:tc>
        <w:tcPr>
          <w:tcW w:w="3227" w:type="dxa"/>
        </w:tcPr>
        <w:p w14:paraId="050EB099" w14:textId="77777777" w:rsidR="00F72F0B" w:rsidRPr="00A4026A" w:rsidRDefault="00F72F0B" w:rsidP="00DD212B">
          <w:pPr>
            <w:pStyle w:val="Sidehoved"/>
            <w:rPr>
              <w:b/>
              <w:sz w:val="22"/>
              <w:szCs w:val="22"/>
            </w:rPr>
          </w:pPr>
          <w:r w:rsidRPr="00A4026A">
            <w:rPr>
              <w:b/>
              <w:sz w:val="22"/>
              <w:szCs w:val="22"/>
            </w:rPr>
            <w:t>Titel:</w:t>
          </w:r>
        </w:p>
      </w:tc>
      <w:tc>
        <w:tcPr>
          <w:tcW w:w="6622" w:type="dxa"/>
        </w:tcPr>
        <w:p w14:paraId="1F99928F" w14:textId="5FEA12D1" w:rsidR="00F72F0B" w:rsidRPr="00D91649" w:rsidRDefault="5967AC15" w:rsidP="00BC6907">
          <w:pPr>
            <w:pStyle w:val="Sidehoved"/>
            <w:rPr>
              <w:sz w:val="22"/>
              <w:szCs w:val="22"/>
              <w:lang w:val="da-DK"/>
            </w:rPr>
          </w:pPr>
          <w:r w:rsidRPr="5967AC15">
            <w:rPr>
              <w:sz w:val="22"/>
              <w:szCs w:val="22"/>
              <w:lang w:val="da-DK"/>
            </w:rPr>
            <w:t xml:space="preserve">Præ- og </w:t>
          </w:r>
          <w:proofErr w:type="spellStart"/>
          <w:r w:rsidRPr="5967AC15">
            <w:rPr>
              <w:sz w:val="22"/>
              <w:szCs w:val="22"/>
              <w:lang w:val="da-DK"/>
            </w:rPr>
            <w:t>postseptal</w:t>
          </w:r>
          <w:proofErr w:type="spellEnd"/>
          <w:r w:rsidRPr="5967AC15">
            <w:rPr>
              <w:sz w:val="22"/>
              <w:szCs w:val="22"/>
              <w:lang w:val="da-DK"/>
            </w:rPr>
            <w:t xml:space="preserve"> cellulitis hos børn og unge</w:t>
          </w:r>
        </w:p>
      </w:tc>
    </w:tr>
    <w:tr w:rsidR="00F72F0B" w:rsidRPr="007F1AC1" w14:paraId="4C019853" w14:textId="77777777" w:rsidTr="5967AC15">
      <w:tc>
        <w:tcPr>
          <w:tcW w:w="3227" w:type="dxa"/>
        </w:tcPr>
        <w:p w14:paraId="2830CA77" w14:textId="77777777" w:rsidR="00F72F0B" w:rsidRPr="00A4026A" w:rsidRDefault="5967AC15" w:rsidP="5967AC15">
          <w:pPr>
            <w:pStyle w:val="Sidehoved"/>
            <w:rPr>
              <w:b/>
              <w:bCs/>
              <w:sz w:val="22"/>
              <w:szCs w:val="22"/>
            </w:rPr>
          </w:pPr>
          <w:proofErr w:type="spellStart"/>
          <w:r w:rsidRPr="5967AC15">
            <w:rPr>
              <w:b/>
              <w:bCs/>
              <w:sz w:val="22"/>
              <w:szCs w:val="22"/>
            </w:rPr>
            <w:t>Forfattergruppe</w:t>
          </w:r>
          <w:proofErr w:type="spellEnd"/>
          <w:r w:rsidRPr="5967AC15">
            <w:rPr>
              <w:b/>
              <w:bCs/>
              <w:sz w:val="22"/>
              <w:szCs w:val="22"/>
            </w:rPr>
            <w:t>:</w:t>
          </w:r>
        </w:p>
      </w:tc>
      <w:tc>
        <w:tcPr>
          <w:tcW w:w="6622" w:type="dxa"/>
        </w:tcPr>
        <w:p w14:paraId="72D40CF2" w14:textId="20EBFB2D" w:rsidR="00F72F0B" w:rsidRPr="007F1AC1" w:rsidRDefault="5967AC15" w:rsidP="00BC6907">
          <w:pPr>
            <w:pStyle w:val="Sidehoved"/>
            <w:rPr>
              <w:sz w:val="22"/>
              <w:szCs w:val="22"/>
            </w:rPr>
          </w:pPr>
          <w:r w:rsidRPr="007F1AC1">
            <w:rPr>
              <w:sz w:val="22"/>
              <w:szCs w:val="22"/>
            </w:rPr>
            <w:t>Trine Mølbæk-Engbjerg, Marie-Louise von Linstow,</w:t>
          </w:r>
          <w:r w:rsidR="00B64104" w:rsidRPr="007F1AC1">
            <w:rPr>
              <w:sz w:val="22"/>
              <w:szCs w:val="22"/>
            </w:rPr>
            <w:t xml:space="preserve"> </w:t>
          </w:r>
          <w:r w:rsidR="009E091D" w:rsidRPr="007F1AC1">
            <w:rPr>
              <w:sz w:val="22"/>
              <w:szCs w:val="22"/>
            </w:rPr>
            <w:t>Birgitte Smith</w:t>
          </w:r>
          <w:r w:rsidR="00C76D34" w:rsidRPr="007F1AC1">
            <w:rPr>
              <w:sz w:val="22"/>
              <w:szCs w:val="22"/>
            </w:rPr>
            <w:t xml:space="preserve">, </w:t>
          </w:r>
          <w:r w:rsidR="008235EC">
            <w:rPr>
              <w:sz w:val="22"/>
              <w:szCs w:val="22"/>
            </w:rPr>
            <w:t xml:space="preserve">Allan Bybeck Nielsen, </w:t>
          </w:r>
          <w:r w:rsidR="00C76D34" w:rsidRPr="007F1AC1">
            <w:rPr>
              <w:sz w:val="22"/>
              <w:szCs w:val="22"/>
            </w:rPr>
            <w:t>Kasper Aanæs</w:t>
          </w:r>
          <w:r w:rsidR="00F9407D" w:rsidRPr="007F1AC1">
            <w:rPr>
              <w:sz w:val="22"/>
              <w:szCs w:val="22"/>
            </w:rPr>
            <w:t xml:space="preserve"> (ØNH),</w:t>
          </w:r>
          <w:r w:rsidR="0054198B" w:rsidRPr="007F1AC1">
            <w:rPr>
              <w:sz w:val="22"/>
              <w:szCs w:val="22"/>
            </w:rPr>
            <w:t xml:space="preserve"> </w:t>
          </w:r>
          <w:r w:rsidR="00002DA0" w:rsidRPr="007F1AC1">
            <w:rPr>
              <w:sz w:val="22"/>
              <w:szCs w:val="22"/>
            </w:rPr>
            <w:t>Marie Louise Roed Rasmussen (</w:t>
          </w:r>
          <w:proofErr w:type="spellStart"/>
          <w:r w:rsidR="00002DA0" w:rsidRPr="007F1AC1">
            <w:rPr>
              <w:sz w:val="22"/>
              <w:szCs w:val="22"/>
            </w:rPr>
            <w:t>Oftalmologi</w:t>
          </w:r>
          <w:proofErr w:type="spellEnd"/>
          <w:r w:rsidR="00002DA0" w:rsidRPr="007F1AC1">
            <w:rPr>
              <w:sz w:val="22"/>
              <w:szCs w:val="22"/>
            </w:rPr>
            <w:t>)</w:t>
          </w:r>
          <w:r w:rsidR="007F1AC1" w:rsidRPr="003A1861">
            <w:rPr>
              <w:sz w:val="22"/>
              <w:szCs w:val="22"/>
            </w:rPr>
            <w:t>,</w:t>
          </w:r>
          <w:r w:rsidR="000D3BCD">
            <w:rPr>
              <w:sz w:val="22"/>
              <w:szCs w:val="22"/>
            </w:rPr>
            <w:t xml:space="preserve"> </w:t>
          </w:r>
          <w:r w:rsidR="00566D1A">
            <w:rPr>
              <w:sz w:val="22"/>
              <w:szCs w:val="22"/>
            </w:rPr>
            <w:t xml:space="preserve">Dorthe Grosen, </w:t>
          </w:r>
          <w:r w:rsidR="007F1AC1" w:rsidRPr="003A1861">
            <w:rPr>
              <w:sz w:val="22"/>
              <w:szCs w:val="22"/>
            </w:rPr>
            <w:t>Ul</w:t>
          </w:r>
          <w:r w:rsidR="007F1AC1">
            <w:rPr>
              <w:sz w:val="22"/>
              <w:szCs w:val="22"/>
            </w:rPr>
            <w:t>rikka Nygaard</w:t>
          </w:r>
        </w:p>
      </w:tc>
    </w:tr>
    <w:tr w:rsidR="00F72F0B" w:rsidRPr="00DD212B" w14:paraId="302F4375" w14:textId="77777777" w:rsidTr="5967AC15">
      <w:tc>
        <w:tcPr>
          <w:tcW w:w="3227" w:type="dxa"/>
        </w:tcPr>
        <w:p w14:paraId="3837AA39" w14:textId="77777777" w:rsidR="00F72F0B" w:rsidRPr="00A4026A" w:rsidRDefault="5967AC15" w:rsidP="5967AC15">
          <w:pPr>
            <w:pStyle w:val="Sidehoved"/>
            <w:rPr>
              <w:b/>
              <w:bCs/>
              <w:sz w:val="22"/>
              <w:szCs w:val="22"/>
            </w:rPr>
          </w:pPr>
          <w:proofErr w:type="spellStart"/>
          <w:r w:rsidRPr="5967AC15">
            <w:rPr>
              <w:b/>
              <w:bCs/>
              <w:sz w:val="22"/>
              <w:szCs w:val="22"/>
            </w:rPr>
            <w:t>Fagligt</w:t>
          </w:r>
          <w:proofErr w:type="spellEnd"/>
          <w:r w:rsidRPr="5967AC15">
            <w:rPr>
              <w:b/>
              <w:bCs/>
              <w:sz w:val="22"/>
              <w:szCs w:val="22"/>
            </w:rPr>
            <w:t xml:space="preserve"> </w:t>
          </w:r>
          <w:proofErr w:type="spellStart"/>
          <w:r w:rsidRPr="5967AC15">
            <w:rPr>
              <w:b/>
              <w:bCs/>
              <w:sz w:val="22"/>
              <w:szCs w:val="22"/>
            </w:rPr>
            <w:t>ansvarlige</w:t>
          </w:r>
          <w:proofErr w:type="spellEnd"/>
          <w:r w:rsidRPr="5967AC15">
            <w:rPr>
              <w:b/>
              <w:bCs/>
              <w:sz w:val="22"/>
              <w:szCs w:val="22"/>
            </w:rPr>
            <w:t xml:space="preserve"> DPS-</w:t>
          </w:r>
          <w:proofErr w:type="spellStart"/>
          <w:r w:rsidRPr="5967AC15">
            <w:rPr>
              <w:b/>
              <w:bCs/>
              <w:sz w:val="22"/>
              <w:szCs w:val="22"/>
            </w:rPr>
            <w:t>udvalg</w:t>
          </w:r>
          <w:proofErr w:type="spellEnd"/>
          <w:r w:rsidRPr="5967AC15">
            <w:rPr>
              <w:b/>
              <w:bCs/>
              <w:sz w:val="22"/>
              <w:szCs w:val="22"/>
            </w:rPr>
            <w:t>:</w:t>
          </w:r>
        </w:p>
      </w:tc>
      <w:tc>
        <w:tcPr>
          <w:tcW w:w="6622" w:type="dxa"/>
        </w:tcPr>
        <w:p w14:paraId="4A8A2160" w14:textId="7E82003C" w:rsidR="00F72F0B" w:rsidRPr="00A4026A" w:rsidRDefault="5967AC15" w:rsidP="009336F7">
          <w:pPr>
            <w:pStyle w:val="Sidehoved"/>
            <w:rPr>
              <w:sz w:val="22"/>
              <w:szCs w:val="22"/>
            </w:rPr>
          </w:pPr>
          <w:proofErr w:type="spellStart"/>
          <w:r w:rsidRPr="5967AC15">
            <w:rPr>
              <w:sz w:val="22"/>
              <w:szCs w:val="22"/>
            </w:rPr>
            <w:t>Infektionsmedicinsk</w:t>
          </w:r>
          <w:proofErr w:type="spellEnd"/>
          <w:r w:rsidRPr="5967AC15">
            <w:rPr>
              <w:sz w:val="22"/>
              <w:szCs w:val="22"/>
            </w:rPr>
            <w:t xml:space="preserve"> </w:t>
          </w:r>
          <w:proofErr w:type="spellStart"/>
          <w:r w:rsidRPr="5967AC15">
            <w:rPr>
              <w:sz w:val="22"/>
              <w:szCs w:val="22"/>
            </w:rPr>
            <w:t>udvalg</w:t>
          </w:r>
          <w:proofErr w:type="spellEnd"/>
        </w:p>
      </w:tc>
    </w:tr>
    <w:tr w:rsidR="00F72F0B" w:rsidRPr="00B25532" w14:paraId="15349FE0" w14:textId="77777777" w:rsidTr="5967AC15">
      <w:tc>
        <w:tcPr>
          <w:tcW w:w="3227" w:type="dxa"/>
        </w:tcPr>
        <w:p w14:paraId="087CA263" w14:textId="3180F4B5" w:rsidR="00F72F0B" w:rsidRPr="00A4026A" w:rsidRDefault="5967AC15" w:rsidP="5967AC15">
          <w:pPr>
            <w:pStyle w:val="Sidehoved"/>
            <w:rPr>
              <w:b/>
              <w:bCs/>
              <w:sz w:val="22"/>
              <w:szCs w:val="22"/>
            </w:rPr>
          </w:pPr>
          <w:proofErr w:type="spellStart"/>
          <w:r w:rsidRPr="5967AC15">
            <w:rPr>
              <w:b/>
              <w:bCs/>
              <w:sz w:val="22"/>
              <w:szCs w:val="22"/>
            </w:rPr>
            <w:t>Tovholders</w:t>
          </w:r>
          <w:proofErr w:type="spellEnd"/>
          <w:r w:rsidRPr="5967AC15">
            <w:rPr>
              <w:b/>
              <w:bCs/>
              <w:sz w:val="22"/>
              <w:szCs w:val="22"/>
            </w:rPr>
            <w:t xml:space="preserve"> </w:t>
          </w:r>
          <w:proofErr w:type="spellStart"/>
          <w:r w:rsidRPr="5967AC15">
            <w:rPr>
              <w:b/>
              <w:bCs/>
              <w:sz w:val="22"/>
              <w:szCs w:val="22"/>
            </w:rPr>
            <w:t>navn</w:t>
          </w:r>
          <w:proofErr w:type="spellEnd"/>
          <w:r w:rsidRPr="5967AC15">
            <w:rPr>
              <w:b/>
              <w:bCs/>
              <w:sz w:val="22"/>
              <w:szCs w:val="22"/>
            </w:rPr>
            <w:t xml:space="preserve"> </w:t>
          </w:r>
          <w:proofErr w:type="spellStart"/>
          <w:r w:rsidRPr="5967AC15">
            <w:rPr>
              <w:b/>
              <w:bCs/>
              <w:sz w:val="22"/>
              <w:szCs w:val="22"/>
            </w:rPr>
            <w:t>og</w:t>
          </w:r>
          <w:proofErr w:type="spellEnd"/>
          <w:r w:rsidRPr="5967AC15">
            <w:rPr>
              <w:b/>
              <w:bCs/>
              <w:sz w:val="22"/>
              <w:szCs w:val="22"/>
            </w:rPr>
            <w:t xml:space="preserve"> mail:</w:t>
          </w:r>
        </w:p>
      </w:tc>
      <w:tc>
        <w:tcPr>
          <w:tcW w:w="6622" w:type="dxa"/>
        </w:tcPr>
        <w:p w14:paraId="306E5EB9" w14:textId="6366A893" w:rsidR="00F72F0B" w:rsidRPr="006D24BC" w:rsidRDefault="5967AC15" w:rsidP="00DD212B">
          <w:pPr>
            <w:pStyle w:val="Sidehoved"/>
            <w:rPr>
              <w:sz w:val="22"/>
              <w:szCs w:val="22"/>
              <w:lang w:val="da-DK"/>
            </w:rPr>
          </w:pPr>
          <w:r w:rsidRPr="5967AC15">
            <w:rPr>
              <w:sz w:val="22"/>
              <w:szCs w:val="22"/>
              <w:lang w:val="da-DK"/>
            </w:rPr>
            <w:t>Trine Mølbæk-Engbjerg; trine.moelbaek-engbjerg.01@regionh.dk</w:t>
          </w:r>
        </w:p>
      </w:tc>
    </w:tr>
  </w:tbl>
  <w:p w14:paraId="09CEAAD6" w14:textId="77777777" w:rsidR="00F72F0B" w:rsidRPr="006D24BC" w:rsidRDefault="00F72F0B" w:rsidP="00DD212B">
    <w:pPr>
      <w:pStyle w:val="Sidehoved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19EEE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82287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FE6ED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AE41E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70632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9DECE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926C6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F6270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E2EB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B6439B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16C883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3851E1"/>
    <w:multiLevelType w:val="hybridMultilevel"/>
    <w:tmpl w:val="D82A3AB0"/>
    <w:lvl w:ilvl="0" w:tplc="34923F0E">
      <w:start w:val="1"/>
      <w:numFmt w:val="bullet"/>
      <w:lvlText w:val=""/>
      <w:lvlJc w:val="left"/>
      <w:pPr>
        <w:tabs>
          <w:tab w:val="num" w:pos="0"/>
        </w:tabs>
        <w:ind w:left="720" w:hanging="36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8B308A"/>
    <w:multiLevelType w:val="hybridMultilevel"/>
    <w:tmpl w:val="9B2C64B2"/>
    <w:lvl w:ilvl="0" w:tplc="0406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13D8090F"/>
    <w:multiLevelType w:val="hybridMultilevel"/>
    <w:tmpl w:val="FA9247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614AC"/>
    <w:multiLevelType w:val="hybridMultilevel"/>
    <w:tmpl w:val="F6C487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F3F05"/>
    <w:multiLevelType w:val="hybridMultilevel"/>
    <w:tmpl w:val="B13E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F3F9D"/>
    <w:multiLevelType w:val="hybridMultilevel"/>
    <w:tmpl w:val="36E206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12E03"/>
    <w:multiLevelType w:val="hybridMultilevel"/>
    <w:tmpl w:val="B1440D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C7AB9"/>
    <w:multiLevelType w:val="hybridMultilevel"/>
    <w:tmpl w:val="D50A7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90EC8"/>
    <w:multiLevelType w:val="hybridMultilevel"/>
    <w:tmpl w:val="8CF2A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F69A2"/>
    <w:multiLevelType w:val="hybridMultilevel"/>
    <w:tmpl w:val="16E6FC94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1" w15:restartNumberingAfterBreak="0">
    <w:nsid w:val="633A0015"/>
    <w:multiLevelType w:val="hybridMultilevel"/>
    <w:tmpl w:val="8B8C1604"/>
    <w:lvl w:ilvl="0" w:tplc="040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E365F"/>
    <w:multiLevelType w:val="hybridMultilevel"/>
    <w:tmpl w:val="5652FC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17376"/>
    <w:multiLevelType w:val="hybridMultilevel"/>
    <w:tmpl w:val="CE9276AA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4" w15:restartNumberingAfterBreak="0">
    <w:nsid w:val="728F32FA"/>
    <w:multiLevelType w:val="hybridMultilevel"/>
    <w:tmpl w:val="D0FAC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87021"/>
    <w:multiLevelType w:val="hybridMultilevel"/>
    <w:tmpl w:val="F612AE20"/>
    <w:lvl w:ilvl="0" w:tplc="98A8CCE4">
      <w:start w:val="1"/>
      <w:numFmt w:val="decimal"/>
      <w:lvlText w:val="%1."/>
      <w:lvlJc w:val="left"/>
      <w:pPr>
        <w:ind w:left="1020" w:hanging="360"/>
      </w:pPr>
    </w:lvl>
    <w:lvl w:ilvl="1" w:tplc="E228B5EC">
      <w:start w:val="1"/>
      <w:numFmt w:val="decimal"/>
      <w:lvlText w:val="%2."/>
      <w:lvlJc w:val="left"/>
      <w:pPr>
        <w:ind w:left="1020" w:hanging="360"/>
      </w:pPr>
    </w:lvl>
    <w:lvl w:ilvl="2" w:tplc="CD1E861C">
      <w:start w:val="1"/>
      <w:numFmt w:val="decimal"/>
      <w:lvlText w:val="%3."/>
      <w:lvlJc w:val="left"/>
      <w:pPr>
        <w:ind w:left="1020" w:hanging="360"/>
      </w:pPr>
    </w:lvl>
    <w:lvl w:ilvl="3" w:tplc="4C803996">
      <w:start w:val="1"/>
      <w:numFmt w:val="decimal"/>
      <w:lvlText w:val="%4."/>
      <w:lvlJc w:val="left"/>
      <w:pPr>
        <w:ind w:left="1020" w:hanging="360"/>
      </w:pPr>
    </w:lvl>
    <w:lvl w:ilvl="4" w:tplc="87EAB64A">
      <w:start w:val="1"/>
      <w:numFmt w:val="decimal"/>
      <w:lvlText w:val="%5."/>
      <w:lvlJc w:val="left"/>
      <w:pPr>
        <w:ind w:left="1020" w:hanging="360"/>
      </w:pPr>
    </w:lvl>
    <w:lvl w:ilvl="5" w:tplc="BC709502">
      <w:start w:val="1"/>
      <w:numFmt w:val="decimal"/>
      <w:lvlText w:val="%6."/>
      <w:lvlJc w:val="left"/>
      <w:pPr>
        <w:ind w:left="1020" w:hanging="360"/>
      </w:pPr>
    </w:lvl>
    <w:lvl w:ilvl="6" w:tplc="144C043E">
      <w:start w:val="1"/>
      <w:numFmt w:val="decimal"/>
      <w:lvlText w:val="%7."/>
      <w:lvlJc w:val="left"/>
      <w:pPr>
        <w:ind w:left="1020" w:hanging="360"/>
      </w:pPr>
    </w:lvl>
    <w:lvl w:ilvl="7" w:tplc="3356D770">
      <w:start w:val="1"/>
      <w:numFmt w:val="decimal"/>
      <w:lvlText w:val="%8."/>
      <w:lvlJc w:val="left"/>
      <w:pPr>
        <w:ind w:left="1020" w:hanging="360"/>
      </w:pPr>
    </w:lvl>
    <w:lvl w:ilvl="8" w:tplc="6B08971C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77F66B14"/>
    <w:multiLevelType w:val="hybridMultilevel"/>
    <w:tmpl w:val="497A2FBA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7" w15:restartNumberingAfterBreak="0">
    <w:nsid w:val="7A363C8F"/>
    <w:multiLevelType w:val="hybridMultilevel"/>
    <w:tmpl w:val="E1DC59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061CB"/>
    <w:multiLevelType w:val="hybridMultilevel"/>
    <w:tmpl w:val="33444006"/>
    <w:lvl w:ilvl="0" w:tplc="1B5AA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573098">
    <w:abstractNumId w:val="11"/>
  </w:num>
  <w:num w:numId="2" w16cid:durableId="567613689">
    <w:abstractNumId w:val="10"/>
  </w:num>
  <w:num w:numId="3" w16cid:durableId="274795525">
    <w:abstractNumId w:val="8"/>
  </w:num>
  <w:num w:numId="4" w16cid:durableId="1585384316">
    <w:abstractNumId w:val="7"/>
  </w:num>
  <w:num w:numId="5" w16cid:durableId="2093964059">
    <w:abstractNumId w:val="6"/>
  </w:num>
  <w:num w:numId="6" w16cid:durableId="1466503216">
    <w:abstractNumId w:val="5"/>
  </w:num>
  <w:num w:numId="7" w16cid:durableId="1266615095">
    <w:abstractNumId w:val="9"/>
  </w:num>
  <w:num w:numId="8" w16cid:durableId="27293864">
    <w:abstractNumId w:val="4"/>
  </w:num>
  <w:num w:numId="9" w16cid:durableId="1083330916">
    <w:abstractNumId w:val="3"/>
  </w:num>
  <w:num w:numId="10" w16cid:durableId="924069367">
    <w:abstractNumId w:val="2"/>
  </w:num>
  <w:num w:numId="11" w16cid:durableId="1376613184">
    <w:abstractNumId w:val="1"/>
  </w:num>
  <w:num w:numId="12" w16cid:durableId="1840080339">
    <w:abstractNumId w:val="0"/>
  </w:num>
  <w:num w:numId="13" w16cid:durableId="1519583552">
    <w:abstractNumId w:val="19"/>
  </w:num>
  <w:num w:numId="14" w16cid:durableId="172380667">
    <w:abstractNumId w:val="18"/>
  </w:num>
  <w:num w:numId="15" w16cid:durableId="892739472">
    <w:abstractNumId w:val="12"/>
  </w:num>
  <w:num w:numId="16" w16cid:durableId="1906338292">
    <w:abstractNumId w:val="15"/>
  </w:num>
  <w:num w:numId="17" w16cid:durableId="1869946658">
    <w:abstractNumId w:val="24"/>
  </w:num>
  <w:num w:numId="18" w16cid:durableId="1018308677">
    <w:abstractNumId w:val="23"/>
  </w:num>
  <w:num w:numId="19" w16cid:durableId="1159419712">
    <w:abstractNumId w:val="20"/>
  </w:num>
  <w:num w:numId="20" w16cid:durableId="1745107410">
    <w:abstractNumId w:val="16"/>
  </w:num>
  <w:num w:numId="21" w16cid:durableId="23798200">
    <w:abstractNumId w:val="22"/>
  </w:num>
  <w:num w:numId="22" w16cid:durableId="500388134">
    <w:abstractNumId w:val="26"/>
  </w:num>
  <w:num w:numId="23" w16cid:durableId="1596286089">
    <w:abstractNumId w:val="27"/>
  </w:num>
  <w:num w:numId="24" w16cid:durableId="1691950052">
    <w:abstractNumId w:val="17"/>
  </w:num>
  <w:num w:numId="25" w16cid:durableId="958603635">
    <w:abstractNumId w:val="21"/>
  </w:num>
  <w:num w:numId="26" w16cid:durableId="1100833882">
    <w:abstractNumId w:val="25"/>
  </w:num>
  <w:num w:numId="27" w16cid:durableId="17439846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9534608">
    <w:abstractNumId w:val="28"/>
  </w:num>
  <w:num w:numId="29" w16cid:durableId="1661541231">
    <w:abstractNumId w:val="13"/>
  </w:num>
  <w:num w:numId="30" w16cid:durableId="14209024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B4"/>
    <w:rsid w:val="00001167"/>
    <w:rsid w:val="00002DA0"/>
    <w:rsid w:val="0000397E"/>
    <w:rsid w:val="00015897"/>
    <w:rsid w:val="00015B93"/>
    <w:rsid w:val="00021A58"/>
    <w:rsid w:val="0003367F"/>
    <w:rsid w:val="00035F4B"/>
    <w:rsid w:val="00050B85"/>
    <w:rsid w:val="00054591"/>
    <w:rsid w:val="00064A8A"/>
    <w:rsid w:val="000723AE"/>
    <w:rsid w:val="0007423B"/>
    <w:rsid w:val="00076C79"/>
    <w:rsid w:val="000820BE"/>
    <w:rsid w:val="00087DCF"/>
    <w:rsid w:val="000909C7"/>
    <w:rsid w:val="00093B91"/>
    <w:rsid w:val="00093BF3"/>
    <w:rsid w:val="0009452C"/>
    <w:rsid w:val="00096B21"/>
    <w:rsid w:val="000B06AD"/>
    <w:rsid w:val="000C0B4E"/>
    <w:rsid w:val="000C7713"/>
    <w:rsid w:val="000D0756"/>
    <w:rsid w:val="000D3BCD"/>
    <w:rsid w:val="000E387E"/>
    <w:rsid w:val="000F4F2A"/>
    <w:rsid w:val="000F5B58"/>
    <w:rsid w:val="0010317B"/>
    <w:rsid w:val="00107821"/>
    <w:rsid w:val="001250B2"/>
    <w:rsid w:val="001254D2"/>
    <w:rsid w:val="00133A80"/>
    <w:rsid w:val="00140260"/>
    <w:rsid w:val="00143F1D"/>
    <w:rsid w:val="00147E94"/>
    <w:rsid w:val="0015681D"/>
    <w:rsid w:val="00174E65"/>
    <w:rsid w:val="001765D0"/>
    <w:rsid w:val="00181154"/>
    <w:rsid w:val="001812DE"/>
    <w:rsid w:val="00185B9F"/>
    <w:rsid w:val="0019004E"/>
    <w:rsid w:val="001A4E5E"/>
    <w:rsid w:val="001B3844"/>
    <w:rsid w:val="001C0FDF"/>
    <w:rsid w:val="001E0C78"/>
    <w:rsid w:val="001F339A"/>
    <w:rsid w:val="001F35F6"/>
    <w:rsid w:val="00211CF5"/>
    <w:rsid w:val="00214EA3"/>
    <w:rsid w:val="00223388"/>
    <w:rsid w:val="00227205"/>
    <w:rsid w:val="002301D3"/>
    <w:rsid w:val="002462F0"/>
    <w:rsid w:val="00254817"/>
    <w:rsid w:val="00256F0A"/>
    <w:rsid w:val="00257A0B"/>
    <w:rsid w:val="00270A71"/>
    <w:rsid w:val="00270BAD"/>
    <w:rsid w:val="00275327"/>
    <w:rsid w:val="002771B5"/>
    <w:rsid w:val="002772A7"/>
    <w:rsid w:val="00283E40"/>
    <w:rsid w:val="00285121"/>
    <w:rsid w:val="0028561C"/>
    <w:rsid w:val="0029278B"/>
    <w:rsid w:val="002A44B6"/>
    <w:rsid w:val="002B5DD7"/>
    <w:rsid w:val="002C7F94"/>
    <w:rsid w:val="002D4B9B"/>
    <w:rsid w:val="002E0959"/>
    <w:rsid w:val="002E43FF"/>
    <w:rsid w:val="002E50C5"/>
    <w:rsid w:val="002F1F87"/>
    <w:rsid w:val="002F26D2"/>
    <w:rsid w:val="002F5F91"/>
    <w:rsid w:val="00307CBB"/>
    <w:rsid w:val="00315897"/>
    <w:rsid w:val="0031770D"/>
    <w:rsid w:val="00341DF0"/>
    <w:rsid w:val="00354171"/>
    <w:rsid w:val="00381C33"/>
    <w:rsid w:val="00383EAB"/>
    <w:rsid w:val="003974A0"/>
    <w:rsid w:val="003A1861"/>
    <w:rsid w:val="003A211C"/>
    <w:rsid w:val="003B0EE9"/>
    <w:rsid w:val="003B3823"/>
    <w:rsid w:val="003C1835"/>
    <w:rsid w:val="003D2661"/>
    <w:rsid w:val="003D7C86"/>
    <w:rsid w:val="003F2ABB"/>
    <w:rsid w:val="00410103"/>
    <w:rsid w:val="004151B6"/>
    <w:rsid w:val="004174C0"/>
    <w:rsid w:val="00431BF2"/>
    <w:rsid w:val="004379F9"/>
    <w:rsid w:val="0044247B"/>
    <w:rsid w:val="0045215E"/>
    <w:rsid w:val="00463A17"/>
    <w:rsid w:val="00472AAD"/>
    <w:rsid w:val="00487678"/>
    <w:rsid w:val="004A392E"/>
    <w:rsid w:val="004B5E42"/>
    <w:rsid w:val="004D2FC1"/>
    <w:rsid w:val="004E08C9"/>
    <w:rsid w:val="004E724F"/>
    <w:rsid w:val="004E7D45"/>
    <w:rsid w:val="004F4557"/>
    <w:rsid w:val="0050423C"/>
    <w:rsid w:val="00505B3D"/>
    <w:rsid w:val="00507D0D"/>
    <w:rsid w:val="00510E23"/>
    <w:rsid w:val="00523FF2"/>
    <w:rsid w:val="0054198B"/>
    <w:rsid w:val="00544883"/>
    <w:rsid w:val="00544D2B"/>
    <w:rsid w:val="00546173"/>
    <w:rsid w:val="005510C1"/>
    <w:rsid w:val="00555361"/>
    <w:rsid w:val="005617B4"/>
    <w:rsid w:val="0056626C"/>
    <w:rsid w:val="00566D1A"/>
    <w:rsid w:val="00572803"/>
    <w:rsid w:val="00580850"/>
    <w:rsid w:val="00596939"/>
    <w:rsid w:val="005A6E37"/>
    <w:rsid w:val="005A78CE"/>
    <w:rsid w:val="005C37FF"/>
    <w:rsid w:val="005C3A45"/>
    <w:rsid w:val="005E045C"/>
    <w:rsid w:val="005E0F64"/>
    <w:rsid w:val="005E6E50"/>
    <w:rsid w:val="005F0D19"/>
    <w:rsid w:val="006002BA"/>
    <w:rsid w:val="00600C59"/>
    <w:rsid w:val="00602043"/>
    <w:rsid w:val="0061312D"/>
    <w:rsid w:val="00615E65"/>
    <w:rsid w:val="00625AB2"/>
    <w:rsid w:val="00626048"/>
    <w:rsid w:val="00633E84"/>
    <w:rsid w:val="00641D72"/>
    <w:rsid w:val="006424DB"/>
    <w:rsid w:val="00642E1D"/>
    <w:rsid w:val="006444D3"/>
    <w:rsid w:val="006556D9"/>
    <w:rsid w:val="00656555"/>
    <w:rsid w:val="0065743D"/>
    <w:rsid w:val="00657A75"/>
    <w:rsid w:val="006618F6"/>
    <w:rsid w:val="00674385"/>
    <w:rsid w:val="00676C8F"/>
    <w:rsid w:val="00692619"/>
    <w:rsid w:val="00697A1D"/>
    <w:rsid w:val="006B2D76"/>
    <w:rsid w:val="006B5D5E"/>
    <w:rsid w:val="006B67D9"/>
    <w:rsid w:val="006B68C6"/>
    <w:rsid w:val="006C0B63"/>
    <w:rsid w:val="006C4C3D"/>
    <w:rsid w:val="006D24BC"/>
    <w:rsid w:val="006E440B"/>
    <w:rsid w:val="006E52F6"/>
    <w:rsid w:val="006E539B"/>
    <w:rsid w:val="00700B69"/>
    <w:rsid w:val="00711CE5"/>
    <w:rsid w:val="00713303"/>
    <w:rsid w:val="007148E0"/>
    <w:rsid w:val="007314E9"/>
    <w:rsid w:val="0073177C"/>
    <w:rsid w:val="00736495"/>
    <w:rsid w:val="00757980"/>
    <w:rsid w:val="00760E40"/>
    <w:rsid w:val="0076411F"/>
    <w:rsid w:val="007659C5"/>
    <w:rsid w:val="00772975"/>
    <w:rsid w:val="00772FB9"/>
    <w:rsid w:val="00774A52"/>
    <w:rsid w:val="00776357"/>
    <w:rsid w:val="00791096"/>
    <w:rsid w:val="007A463A"/>
    <w:rsid w:val="007B1ACB"/>
    <w:rsid w:val="007B1DBC"/>
    <w:rsid w:val="007B3E76"/>
    <w:rsid w:val="007C5B21"/>
    <w:rsid w:val="007C744B"/>
    <w:rsid w:val="007D1342"/>
    <w:rsid w:val="007D20AA"/>
    <w:rsid w:val="007D4DF0"/>
    <w:rsid w:val="007D6909"/>
    <w:rsid w:val="007D742B"/>
    <w:rsid w:val="007F1AC1"/>
    <w:rsid w:val="007F1B33"/>
    <w:rsid w:val="00810579"/>
    <w:rsid w:val="00817D0E"/>
    <w:rsid w:val="008235EC"/>
    <w:rsid w:val="00827CB7"/>
    <w:rsid w:val="00842D62"/>
    <w:rsid w:val="00853C29"/>
    <w:rsid w:val="008721E7"/>
    <w:rsid w:val="00876139"/>
    <w:rsid w:val="00886983"/>
    <w:rsid w:val="008A17D1"/>
    <w:rsid w:val="008A2E09"/>
    <w:rsid w:val="008A39DB"/>
    <w:rsid w:val="008A3AF8"/>
    <w:rsid w:val="008A5801"/>
    <w:rsid w:val="008B4856"/>
    <w:rsid w:val="008B4FAE"/>
    <w:rsid w:val="008E4CD3"/>
    <w:rsid w:val="008F493F"/>
    <w:rsid w:val="00907FB8"/>
    <w:rsid w:val="009336F7"/>
    <w:rsid w:val="00944524"/>
    <w:rsid w:val="009467B9"/>
    <w:rsid w:val="0095369E"/>
    <w:rsid w:val="009546FD"/>
    <w:rsid w:val="00956542"/>
    <w:rsid w:val="00960215"/>
    <w:rsid w:val="0096560F"/>
    <w:rsid w:val="0097227E"/>
    <w:rsid w:val="0098139F"/>
    <w:rsid w:val="00997D24"/>
    <w:rsid w:val="009B13BC"/>
    <w:rsid w:val="009C65AE"/>
    <w:rsid w:val="009E091D"/>
    <w:rsid w:val="009E314D"/>
    <w:rsid w:val="009F39D5"/>
    <w:rsid w:val="00A062CC"/>
    <w:rsid w:val="00A10DC0"/>
    <w:rsid w:val="00A15C4E"/>
    <w:rsid w:val="00A210C4"/>
    <w:rsid w:val="00A24BAC"/>
    <w:rsid w:val="00A32B48"/>
    <w:rsid w:val="00A4026A"/>
    <w:rsid w:val="00A629E0"/>
    <w:rsid w:val="00A65CCB"/>
    <w:rsid w:val="00A90D8A"/>
    <w:rsid w:val="00A930EF"/>
    <w:rsid w:val="00AB1F70"/>
    <w:rsid w:val="00AD4AAD"/>
    <w:rsid w:val="00AD5274"/>
    <w:rsid w:val="00AE2E09"/>
    <w:rsid w:val="00AF3E63"/>
    <w:rsid w:val="00B07F53"/>
    <w:rsid w:val="00B109EA"/>
    <w:rsid w:val="00B129DE"/>
    <w:rsid w:val="00B25532"/>
    <w:rsid w:val="00B267A7"/>
    <w:rsid w:val="00B27F85"/>
    <w:rsid w:val="00B30220"/>
    <w:rsid w:val="00B355A8"/>
    <w:rsid w:val="00B374C9"/>
    <w:rsid w:val="00B407C9"/>
    <w:rsid w:val="00B40A03"/>
    <w:rsid w:val="00B43042"/>
    <w:rsid w:val="00B46C0E"/>
    <w:rsid w:val="00B55D53"/>
    <w:rsid w:val="00B61644"/>
    <w:rsid w:val="00B64104"/>
    <w:rsid w:val="00B6734A"/>
    <w:rsid w:val="00B81B40"/>
    <w:rsid w:val="00B845F3"/>
    <w:rsid w:val="00B85B14"/>
    <w:rsid w:val="00B94269"/>
    <w:rsid w:val="00BA4877"/>
    <w:rsid w:val="00BC30A2"/>
    <w:rsid w:val="00BC437D"/>
    <w:rsid w:val="00BC6907"/>
    <w:rsid w:val="00BC78EC"/>
    <w:rsid w:val="00BD40BD"/>
    <w:rsid w:val="00BD6CCC"/>
    <w:rsid w:val="00BE05B3"/>
    <w:rsid w:val="00BE3061"/>
    <w:rsid w:val="00BF3F1C"/>
    <w:rsid w:val="00C16671"/>
    <w:rsid w:val="00C1698D"/>
    <w:rsid w:val="00C216D9"/>
    <w:rsid w:val="00C3209F"/>
    <w:rsid w:val="00C36B50"/>
    <w:rsid w:val="00C51C71"/>
    <w:rsid w:val="00C60C1D"/>
    <w:rsid w:val="00C707D0"/>
    <w:rsid w:val="00C70A33"/>
    <w:rsid w:val="00C76D34"/>
    <w:rsid w:val="00C8558D"/>
    <w:rsid w:val="00CA2D36"/>
    <w:rsid w:val="00CA3202"/>
    <w:rsid w:val="00CA584B"/>
    <w:rsid w:val="00CB70C6"/>
    <w:rsid w:val="00CC3D5A"/>
    <w:rsid w:val="00CE1778"/>
    <w:rsid w:val="00CF2C5E"/>
    <w:rsid w:val="00CF6C01"/>
    <w:rsid w:val="00D011F7"/>
    <w:rsid w:val="00D02D0A"/>
    <w:rsid w:val="00D05CFE"/>
    <w:rsid w:val="00D21E8A"/>
    <w:rsid w:val="00D22FFB"/>
    <w:rsid w:val="00D31451"/>
    <w:rsid w:val="00D332C1"/>
    <w:rsid w:val="00D65EEA"/>
    <w:rsid w:val="00D675F2"/>
    <w:rsid w:val="00D74338"/>
    <w:rsid w:val="00D859CD"/>
    <w:rsid w:val="00D85DF9"/>
    <w:rsid w:val="00D91649"/>
    <w:rsid w:val="00D91D1B"/>
    <w:rsid w:val="00D96A77"/>
    <w:rsid w:val="00DA1264"/>
    <w:rsid w:val="00DB3152"/>
    <w:rsid w:val="00DC5EF1"/>
    <w:rsid w:val="00DD1D44"/>
    <w:rsid w:val="00DD212B"/>
    <w:rsid w:val="00DD6A37"/>
    <w:rsid w:val="00DF6F0C"/>
    <w:rsid w:val="00E16880"/>
    <w:rsid w:val="00E23064"/>
    <w:rsid w:val="00E345AB"/>
    <w:rsid w:val="00E36D08"/>
    <w:rsid w:val="00E50363"/>
    <w:rsid w:val="00E54E67"/>
    <w:rsid w:val="00E6318C"/>
    <w:rsid w:val="00E65A5F"/>
    <w:rsid w:val="00E70952"/>
    <w:rsid w:val="00E85F1A"/>
    <w:rsid w:val="00E8645D"/>
    <w:rsid w:val="00EA0468"/>
    <w:rsid w:val="00EA1526"/>
    <w:rsid w:val="00EA3E98"/>
    <w:rsid w:val="00EB3BD0"/>
    <w:rsid w:val="00EB610B"/>
    <w:rsid w:val="00EC4967"/>
    <w:rsid w:val="00EC65B7"/>
    <w:rsid w:val="00ED77D3"/>
    <w:rsid w:val="00EF6272"/>
    <w:rsid w:val="00F12B83"/>
    <w:rsid w:val="00F172EC"/>
    <w:rsid w:val="00F21B88"/>
    <w:rsid w:val="00F24CB4"/>
    <w:rsid w:val="00F564C7"/>
    <w:rsid w:val="00F64723"/>
    <w:rsid w:val="00F64BAD"/>
    <w:rsid w:val="00F72F06"/>
    <w:rsid w:val="00F72F0B"/>
    <w:rsid w:val="00F75184"/>
    <w:rsid w:val="00F820FE"/>
    <w:rsid w:val="00F83277"/>
    <w:rsid w:val="00F9328B"/>
    <w:rsid w:val="00F9407D"/>
    <w:rsid w:val="00FA23D0"/>
    <w:rsid w:val="00FA3140"/>
    <w:rsid w:val="00FA3D7A"/>
    <w:rsid w:val="00FA4E40"/>
    <w:rsid w:val="00FB057B"/>
    <w:rsid w:val="00FC0858"/>
    <w:rsid w:val="00FC20BB"/>
    <w:rsid w:val="00FC21E9"/>
    <w:rsid w:val="00FC5972"/>
    <w:rsid w:val="00FE3000"/>
    <w:rsid w:val="00FF0F41"/>
    <w:rsid w:val="00FF172A"/>
    <w:rsid w:val="00FF4305"/>
    <w:rsid w:val="02549341"/>
    <w:rsid w:val="04606D26"/>
    <w:rsid w:val="052A337D"/>
    <w:rsid w:val="15A6C4B0"/>
    <w:rsid w:val="1655B283"/>
    <w:rsid w:val="18D6F3D4"/>
    <w:rsid w:val="1EA908A1"/>
    <w:rsid w:val="1FBE1AA4"/>
    <w:rsid w:val="1FC463A6"/>
    <w:rsid w:val="20E19B18"/>
    <w:rsid w:val="20ECEC1B"/>
    <w:rsid w:val="21474EB8"/>
    <w:rsid w:val="224A0376"/>
    <w:rsid w:val="2899188A"/>
    <w:rsid w:val="2B75CD06"/>
    <w:rsid w:val="2BB0EE20"/>
    <w:rsid w:val="2BB38F54"/>
    <w:rsid w:val="2D2823A3"/>
    <w:rsid w:val="3088B644"/>
    <w:rsid w:val="3174E537"/>
    <w:rsid w:val="33B1C8D4"/>
    <w:rsid w:val="39482800"/>
    <w:rsid w:val="3996981D"/>
    <w:rsid w:val="3F8F2206"/>
    <w:rsid w:val="400104C9"/>
    <w:rsid w:val="403E3501"/>
    <w:rsid w:val="4572761E"/>
    <w:rsid w:val="493345E1"/>
    <w:rsid w:val="4BC899C3"/>
    <w:rsid w:val="501E71BB"/>
    <w:rsid w:val="52C5449F"/>
    <w:rsid w:val="5343BC8B"/>
    <w:rsid w:val="5416EB76"/>
    <w:rsid w:val="5967AC15"/>
    <w:rsid w:val="59DEAC31"/>
    <w:rsid w:val="5DA2DE3C"/>
    <w:rsid w:val="608C8116"/>
    <w:rsid w:val="63D96433"/>
    <w:rsid w:val="653287CF"/>
    <w:rsid w:val="66E15DA3"/>
    <w:rsid w:val="673AD3A3"/>
    <w:rsid w:val="674D7C42"/>
    <w:rsid w:val="6935C67C"/>
    <w:rsid w:val="6B5D2853"/>
    <w:rsid w:val="6F3F44DB"/>
    <w:rsid w:val="7088AC80"/>
    <w:rsid w:val="734A0C05"/>
    <w:rsid w:val="7741BF32"/>
    <w:rsid w:val="795A2216"/>
    <w:rsid w:val="7CE550BF"/>
    <w:rsid w:val="7D57C257"/>
    <w:rsid w:val="7DB7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BBE148"/>
  <w14:defaultImageDpi w14:val="300"/>
  <w15:docId w15:val="{D899513C-39AC-4745-A1AD-CF1D84F8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30220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F83277"/>
    <w:pPr>
      <w:keepNext/>
      <w:shd w:val="clear" w:color="auto" w:fill="D9D9D9"/>
      <w:spacing w:before="240" w:after="60"/>
      <w:outlineLvl w:val="1"/>
    </w:pPr>
    <w:rPr>
      <w:rFonts w:ascii="Times" w:eastAsia="MS Gothic" w:hAnsi="Times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54817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54817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4817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4817"/>
    <w:p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4817"/>
    <w:pPr>
      <w:spacing w:before="240" w:after="60"/>
      <w:outlineLvl w:val="6"/>
    </w:pPr>
    <w:rPr>
      <w:rFonts w:ascii="Cambria" w:eastAsia="MS Mincho" w:hAnsi="Cambria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4817"/>
    <w:pPr>
      <w:spacing w:before="240" w:after="60"/>
      <w:outlineLvl w:val="7"/>
    </w:pPr>
    <w:rPr>
      <w:rFonts w:ascii="Cambria" w:eastAsia="MS Mincho" w:hAnsi="Cambria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4817"/>
    <w:pPr>
      <w:spacing w:before="240" w:after="60"/>
      <w:outlineLvl w:val="8"/>
    </w:pPr>
    <w:rPr>
      <w:rFonts w:ascii="Calibri" w:eastAsia="MS Gothic" w:hAnsi="Calibri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  <w:style w:type="character" w:styleId="BesgtLink">
    <w:name w:val="FollowedHyperlink"/>
    <w:semiHidden/>
    <w:rPr>
      <w:color w:val="800080"/>
      <w:u w:val="single"/>
    </w:rPr>
  </w:style>
  <w:style w:type="paragraph" w:styleId="Markeringsbobletekst">
    <w:name w:val="Balloon Text"/>
    <w:basedOn w:val="Normal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rPr>
      <w:rFonts w:ascii="Lucida Grande" w:hAnsi="Lucida Grande"/>
      <w:sz w:val="18"/>
      <w:szCs w:val="18"/>
      <w:lang w:val="da-DK" w:eastAsia="da-DK"/>
    </w:rPr>
  </w:style>
  <w:style w:type="character" w:styleId="Kommentarhenvisning">
    <w:name w:val="annotation reference"/>
    <w:semiHidden/>
    <w:rPr>
      <w:sz w:val="18"/>
      <w:szCs w:val="18"/>
    </w:rPr>
  </w:style>
  <w:style w:type="paragraph" w:styleId="Kommentartekst">
    <w:name w:val="annotation text"/>
    <w:basedOn w:val="Normal"/>
    <w:semiHidden/>
  </w:style>
  <w:style w:type="character" w:customStyle="1" w:styleId="CommentTextChar">
    <w:name w:val="Comment Text Char"/>
    <w:rPr>
      <w:sz w:val="24"/>
      <w:szCs w:val="24"/>
      <w:lang w:val="da-DK" w:eastAsia="da-DK"/>
    </w:rPr>
  </w:style>
  <w:style w:type="paragraph" w:styleId="Kommentaremne">
    <w:name w:val="annotation subject"/>
    <w:basedOn w:val="Kommentartekst"/>
    <w:next w:val="Kommentartekst"/>
    <w:rPr>
      <w:b/>
      <w:bCs/>
      <w:sz w:val="20"/>
      <w:szCs w:val="20"/>
    </w:rPr>
  </w:style>
  <w:style w:type="character" w:customStyle="1" w:styleId="CommentSubjectChar">
    <w:name w:val="Comment Subject Char"/>
    <w:rPr>
      <w:b/>
      <w:bCs/>
      <w:sz w:val="24"/>
      <w:szCs w:val="24"/>
      <w:lang w:val="da-DK" w:eastAsia="da-DK"/>
    </w:rPr>
  </w:style>
  <w:style w:type="character" w:customStyle="1" w:styleId="Overskrift1Tegn">
    <w:name w:val="Overskrift 1 Tegn"/>
    <w:link w:val="Overskrift1"/>
    <w:uiPriority w:val="9"/>
    <w:rsid w:val="00B30220"/>
    <w:rPr>
      <w:rFonts w:ascii="Calibri" w:eastAsia="MS Gothic" w:hAnsi="Calibri" w:cs="Times New Roman"/>
      <w:b/>
      <w:bCs/>
      <w:noProof/>
      <w:kern w:val="32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B30220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3C1835"/>
    <w:pPr>
      <w:spacing w:before="120"/>
    </w:pPr>
    <w:rPr>
      <w:rFonts w:ascii="Times" w:hAnsi="Time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3C1835"/>
    <w:pPr>
      <w:ind w:left="240"/>
    </w:pPr>
    <w:rPr>
      <w:rFonts w:ascii="Times" w:hAnsi="Times"/>
      <w:szCs w:val="22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B30220"/>
    <w:pPr>
      <w:ind w:left="480"/>
    </w:pPr>
    <w:rPr>
      <w:rFonts w:asciiTheme="minorHAnsi" w:hAnsiTheme="minorHAnsi"/>
      <w:sz w:val="22"/>
      <w:szCs w:val="22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B30220"/>
    <w:pPr>
      <w:ind w:left="720"/>
    </w:pPr>
    <w:rPr>
      <w:rFonts w:asciiTheme="minorHAnsi" w:hAnsiTheme="minorHAnsi"/>
      <w:sz w:val="20"/>
      <w:szCs w:val="20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B30220"/>
    <w:pPr>
      <w:ind w:left="960"/>
    </w:pPr>
    <w:rPr>
      <w:rFonts w:asciiTheme="minorHAnsi" w:hAnsiTheme="minorHAnsi"/>
      <w:sz w:val="20"/>
      <w:szCs w:val="20"/>
    </w:rPr>
  </w:style>
  <w:style w:type="paragraph" w:styleId="Indholdsfortegnelse6">
    <w:name w:val="toc 6"/>
    <w:basedOn w:val="Normal"/>
    <w:next w:val="Normal"/>
    <w:autoRedefine/>
    <w:uiPriority w:val="39"/>
    <w:unhideWhenUsed/>
    <w:rsid w:val="00B30220"/>
    <w:pPr>
      <w:ind w:left="1200"/>
    </w:pPr>
    <w:rPr>
      <w:rFonts w:asciiTheme="minorHAnsi" w:hAnsiTheme="minorHAnsi"/>
      <w:sz w:val="20"/>
      <w:szCs w:val="20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B30220"/>
    <w:pPr>
      <w:ind w:left="1440"/>
    </w:pPr>
    <w:rPr>
      <w:rFonts w:asciiTheme="minorHAnsi" w:hAnsiTheme="minorHAnsi"/>
      <w:sz w:val="20"/>
      <w:szCs w:val="20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B30220"/>
    <w:pPr>
      <w:ind w:left="1680"/>
    </w:pPr>
    <w:rPr>
      <w:rFonts w:asciiTheme="minorHAnsi" w:hAnsiTheme="minorHAnsi"/>
      <w:sz w:val="20"/>
      <w:szCs w:val="20"/>
    </w:rPr>
  </w:style>
  <w:style w:type="paragraph" w:styleId="Indholdsfortegnelse9">
    <w:name w:val="toc 9"/>
    <w:basedOn w:val="Normal"/>
    <w:next w:val="Normal"/>
    <w:autoRedefine/>
    <w:uiPriority w:val="39"/>
    <w:unhideWhenUsed/>
    <w:rsid w:val="00B30220"/>
    <w:pPr>
      <w:ind w:left="1920"/>
    </w:pPr>
    <w:rPr>
      <w:rFonts w:asciiTheme="minorHAnsi" w:hAnsiTheme="minorHAnsi"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qFormat/>
    <w:rsid w:val="00A930EF"/>
    <w:pPr>
      <w:spacing w:before="240" w:after="60"/>
      <w:outlineLvl w:val="0"/>
    </w:pPr>
    <w:rPr>
      <w:rFonts w:ascii="Times" w:eastAsia="MS Gothic" w:hAnsi="Times"/>
      <w:b/>
      <w:bCs/>
      <w:kern w:val="28"/>
      <w:sz w:val="32"/>
      <w:szCs w:val="32"/>
    </w:rPr>
  </w:style>
  <w:style w:type="character" w:customStyle="1" w:styleId="TitelTegn">
    <w:name w:val="Titel Tegn"/>
    <w:link w:val="Titel"/>
    <w:uiPriority w:val="10"/>
    <w:rsid w:val="00A930EF"/>
    <w:rPr>
      <w:rFonts w:ascii="Times" w:eastAsia="MS Gothic" w:hAnsi="Times"/>
      <w:b/>
      <w:bCs/>
      <w:noProof/>
      <w:kern w:val="28"/>
      <w:sz w:val="32"/>
      <w:szCs w:val="32"/>
    </w:rPr>
  </w:style>
  <w:style w:type="character" w:customStyle="1" w:styleId="Overskrift2Tegn">
    <w:name w:val="Overskrift 2 Tegn"/>
    <w:link w:val="Overskrift2"/>
    <w:uiPriority w:val="9"/>
    <w:rsid w:val="00F83277"/>
    <w:rPr>
      <w:rFonts w:ascii="Times" w:eastAsia="MS Gothic" w:hAnsi="Times"/>
      <w:b/>
      <w:bCs/>
      <w:iCs/>
      <w:noProof/>
      <w:sz w:val="28"/>
      <w:szCs w:val="28"/>
      <w:shd w:val="clear" w:color="auto" w:fill="D9D9D9"/>
    </w:rPr>
  </w:style>
  <w:style w:type="character" w:customStyle="1" w:styleId="Overskrift3Tegn">
    <w:name w:val="Overskrift 3 Tegn"/>
    <w:link w:val="Overskrift3"/>
    <w:uiPriority w:val="9"/>
    <w:semiHidden/>
    <w:rsid w:val="00254817"/>
    <w:rPr>
      <w:rFonts w:ascii="Calibri" w:eastAsia="MS Gothic" w:hAnsi="Calibri" w:cs="Times New Roman"/>
      <w:b/>
      <w:bCs/>
      <w:noProof/>
      <w:sz w:val="26"/>
      <w:szCs w:val="26"/>
    </w:rPr>
  </w:style>
  <w:style w:type="character" w:customStyle="1" w:styleId="Overskrift4Tegn">
    <w:name w:val="Overskrift 4 Tegn"/>
    <w:link w:val="Overskrift4"/>
    <w:uiPriority w:val="9"/>
    <w:semiHidden/>
    <w:rsid w:val="00254817"/>
    <w:rPr>
      <w:rFonts w:ascii="Cambria" w:eastAsia="MS Mincho" w:hAnsi="Cambria" w:cs="Times New Roman"/>
      <w:b/>
      <w:bCs/>
      <w:noProof/>
      <w:sz w:val="28"/>
      <w:szCs w:val="28"/>
    </w:rPr>
  </w:style>
  <w:style w:type="character" w:customStyle="1" w:styleId="Overskrift5Tegn">
    <w:name w:val="Overskrift 5 Tegn"/>
    <w:link w:val="Overskrift5"/>
    <w:uiPriority w:val="9"/>
    <w:semiHidden/>
    <w:rsid w:val="00254817"/>
    <w:rPr>
      <w:rFonts w:ascii="Cambria" w:eastAsia="MS Mincho" w:hAnsi="Cambria" w:cs="Times New Roman"/>
      <w:b/>
      <w:bCs/>
      <w:i/>
      <w:iCs/>
      <w:noProof/>
      <w:sz w:val="26"/>
      <w:szCs w:val="26"/>
    </w:rPr>
  </w:style>
  <w:style w:type="character" w:customStyle="1" w:styleId="Overskrift6Tegn">
    <w:name w:val="Overskrift 6 Tegn"/>
    <w:link w:val="Overskrift6"/>
    <w:uiPriority w:val="9"/>
    <w:semiHidden/>
    <w:rsid w:val="00254817"/>
    <w:rPr>
      <w:rFonts w:ascii="Cambria" w:eastAsia="MS Mincho" w:hAnsi="Cambria" w:cs="Times New Roman"/>
      <w:b/>
      <w:bCs/>
      <w:noProof/>
      <w:sz w:val="22"/>
      <w:szCs w:val="22"/>
    </w:rPr>
  </w:style>
  <w:style w:type="character" w:customStyle="1" w:styleId="Overskrift7Tegn">
    <w:name w:val="Overskrift 7 Tegn"/>
    <w:link w:val="Overskrift7"/>
    <w:uiPriority w:val="9"/>
    <w:semiHidden/>
    <w:rsid w:val="00254817"/>
    <w:rPr>
      <w:rFonts w:ascii="Cambria" w:eastAsia="MS Mincho" w:hAnsi="Cambria" w:cs="Times New Roman"/>
      <w:noProof/>
      <w:sz w:val="24"/>
      <w:szCs w:val="24"/>
    </w:rPr>
  </w:style>
  <w:style w:type="character" w:customStyle="1" w:styleId="Overskrift8Tegn">
    <w:name w:val="Overskrift 8 Tegn"/>
    <w:link w:val="Overskrift8"/>
    <w:uiPriority w:val="9"/>
    <w:semiHidden/>
    <w:rsid w:val="00254817"/>
    <w:rPr>
      <w:rFonts w:ascii="Cambria" w:eastAsia="MS Mincho" w:hAnsi="Cambria" w:cs="Times New Roman"/>
      <w:i/>
      <w:iCs/>
      <w:noProof/>
      <w:sz w:val="24"/>
      <w:szCs w:val="24"/>
    </w:rPr>
  </w:style>
  <w:style w:type="character" w:customStyle="1" w:styleId="Overskrift9Tegn">
    <w:name w:val="Overskrift 9 Tegn"/>
    <w:link w:val="Overskrift9"/>
    <w:uiPriority w:val="9"/>
    <w:semiHidden/>
    <w:rsid w:val="00254817"/>
    <w:rPr>
      <w:rFonts w:ascii="Calibri" w:eastAsia="MS Gothic" w:hAnsi="Calibri" w:cs="Times New Roman"/>
      <w:noProof/>
      <w:sz w:val="22"/>
      <w:szCs w:val="22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431BF2"/>
    <w:rPr>
      <w:rFonts w:ascii="Lucida Grande" w:hAnsi="Lucida Grande" w:cs="Lucida Grande"/>
    </w:rPr>
  </w:style>
  <w:style w:type="character" w:customStyle="1" w:styleId="DokumentoversigtTegn">
    <w:name w:val="Dokumentoversigt Tegn"/>
    <w:link w:val="Dokumentoversigt"/>
    <w:uiPriority w:val="99"/>
    <w:semiHidden/>
    <w:rsid w:val="00431BF2"/>
    <w:rPr>
      <w:rFonts w:ascii="Lucida Grande" w:hAnsi="Lucida Grande" w:cs="Lucida Grande"/>
      <w:noProof/>
      <w:sz w:val="24"/>
      <w:szCs w:val="24"/>
    </w:rPr>
  </w:style>
  <w:style w:type="paragraph" w:styleId="Korrektur">
    <w:name w:val="Revision"/>
    <w:hidden/>
    <w:uiPriority w:val="99"/>
    <w:semiHidden/>
    <w:rsid w:val="00431BF2"/>
    <w:rPr>
      <w:noProof/>
    </w:rPr>
  </w:style>
  <w:style w:type="character" w:styleId="Sidetal">
    <w:name w:val="page number"/>
    <w:basedOn w:val="Standardskrifttypeiafsnit"/>
    <w:uiPriority w:val="99"/>
    <w:semiHidden/>
    <w:unhideWhenUsed/>
    <w:rsid w:val="00DB3152"/>
  </w:style>
  <w:style w:type="table" w:styleId="Tabel-Gitter">
    <w:name w:val="Table Grid"/>
    <w:basedOn w:val="Tabel-Normal"/>
    <w:uiPriority w:val="59"/>
    <w:rsid w:val="00DD2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40260"/>
    <w:pPr>
      <w:ind w:left="720"/>
      <w:contextualSpacing/>
    </w:pPr>
  </w:style>
  <w:style w:type="paragraph" w:customStyle="1" w:styleId="Indholdsfortegnelse">
    <w:name w:val="Indholdsfortegnelse"/>
    <w:basedOn w:val="Overskrift2"/>
    <w:qFormat/>
    <w:rsid w:val="00BC78EC"/>
  </w:style>
  <w:style w:type="character" w:customStyle="1" w:styleId="searchhighlight1">
    <w:name w:val="searchhighlight1"/>
    <w:basedOn w:val="Standardskrifttypeiafsnit"/>
    <w:rsid w:val="004379F9"/>
    <w:rPr>
      <w:shd w:val="clear" w:color="auto" w:fill="ADD8E6"/>
    </w:rPr>
  </w:style>
  <w:style w:type="paragraph" w:styleId="NormalWeb">
    <w:name w:val="Normal (Web)"/>
    <w:basedOn w:val="Normal"/>
    <w:uiPriority w:val="99"/>
    <w:unhideWhenUsed/>
    <w:rsid w:val="0009452C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da-DK"/>
    </w:rPr>
  </w:style>
  <w:style w:type="paragraph" w:styleId="Opstilling-punkttegn">
    <w:name w:val="List Bullet"/>
    <w:basedOn w:val="Normal"/>
    <w:uiPriority w:val="99"/>
    <w:semiHidden/>
    <w:unhideWhenUsed/>
    <w:rsid w:val="00181154"/>
    <w:pPr>
      <w:numPr>
        <w:numId w:val="2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181154"/>
    <w:pPr>
      <w:numPr>
        <w:numId w:val="7"/>
      </w:numPr>
      <w:contextualSpacing/>
    </w:pPr>
  </w:style>
  <w:style w:type="table" w:styleId="Lysliste">
    <w:name w:val="Light List"/>
    <w:basedOn w:val="Tabel-Normal"/>
    <w:uiPriority w:val="61"/>
    <w:rsid w:val="0003367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Fremhv">
    <w:name w:val="Emphasis"/>
    <w:basedOn w:val="Standardskrifttypeiafsnit"/>
    <w:uiPriority w:val="20"/>
    <w:qFormat/>
    <w:rsid w:val="005A78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medicin.dk/Sygdomme/Sygdom/31823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ptodate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1C726E-4155-1C47-BF13-803B7387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Landsdækkende kliniske retningslinjer</vt:lpstr>
    </vt:vector>
  </TitlesOfParts>
  <Company/>
  <LinksUpToDate>false</LinksUpToDate>
  <CharactersWithSpaces>9136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Landsdækkende kliniske retningslinjer</dc:title>
  <dc:subject/>
  <dc:creator>Trine Mølbæk-Engbjerg</dc:creator>
  <cp:keywords/>
  <dc:description/>
  <cp:lastModifiedBy>Trine Mølbæk-Engbjerg</cp:lastModifiedBy>
  <cp:revision>2</cp:revision>
  <cp:lastPrinted>2013-02-26T12:49:00Z</cp:lastPrinted>
  <dcterms:created xsi:type="dcterms:W3CDTF">2026-03-30T10:59:00Z</dcterms:created>
  <dcterms:modified xsi:type="dcterms:W3CDTF">2026-03-30T10:59:00Z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0de311c1-65bc-3b4c-ac80-e07ce2de81ce</vt:lpwstr>
  </property>
  <property fmtid="{D5CDD505-2E9C-101B-9397-08002B2CF9AE}" pid="4" name="Mendeley Citation Style_1">
    <vt:lpwstr>http://www.zotero.org/styles/vaccine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http://www.zotero.org/styles/vaccine</vt:lpwstr>
  </property>
  <property fmtid="{D5CDD505-2E9C-101B-9397-08002B2CF9AE}" pid="22" name="Mendeley Recent Style Name 8_1">
    <vt:lpwstr>Vaccine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